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0C5D853">
      <w:pPr>
        <w:spacing w:line="360" w:lineRule="auto"/>
        <w:jc w:val="right"/>
        <w:rPr>
          <w:rFonts w:ascii="宋体" w:hAnsi="宋体"/>
          <w:color w:val="auto"/>
          <w:sz w:val="36"/>
          <w:highlight w:val="none"/>
        </w:rPr>
      </w:pPr>
    </w:p>
    <w:p w14:paraId="6645CCD4">
      <w:pPr>
        <w:spacing w:line="360" w:lineRule="auto"/>
        <w:jc w:val="right"/>
        <w:rPr>
          <w:rFonts w:hint="eastAsia" w:ascii="宋体" w:hAnsi="宋体" w:eastAsia="宋体"/>
          <w:color w:val="auto"/>
          <w:sz w:val="36"/>
          <w:highlight w:val="none"/>
          <w:lang w:eastAsia="zh-CN"/>
        </w:rPr>
      </w:pPr>
      <w:r>
        <w:rPr>
          <w:rFonts w:hint="eastAsia" w:ascii="宋体" w:hAnsi="宋体"/>
          <w:color w:val="auto"/>
          <w:sz w:val="36"/>
          <w:highlight w:val="none"/>
        </w:rPr>
        <w:t>编号：</w:t>
      </w:r>
      <w:r>
        <w:rPr>
          <w:rFonts w:hint="eastAsia" w:ascii="宋体" w:hAnsi="宋体"/>
          <w:color w:val="auto"/>
          <w:sz w:val="36"/>
          <w:highlight w:val="none"/>
          <w:lang w:eastAsia="zh-CN"/>
        </w:rPr>
        <w:t>JSZC-320000-HCZX-G2024-0089</w:t>
      </w:r>
    </w:p>
    <w:p w14:paraId="7455C3FC">
      <w:pPr>
        <w:spacing w:line="360" w:lineRule="auto"/>
        <w:rPr>
          <w:rFonts w:ascii="宋体" w:hAnsi="宋体"/>
          <w:color w:val="auto"/>
          <w:sz w:val="36"/>
          <w:highlight w:val="none"/>
        </w:rPr>
      </w:pPr>
    </w:p>
    <w:p w14:paraId="1AD3A13B">
      <w:pPr>
        <w:spacing w:line="360" w:lineRule="auto"/>
        <w:jc w:val="center"/>
        <w:rPr>
          <w:rFonts w:ascii="宋体" w:hAnsi="宋体"/>
          <w:color w:val="auto"/>
          <w:sz w:val="36"/>
          <w:highlight w:val="none"/>
        </w:rPr>
      </w:pPr>
      <w:r>
        <w:rPr>
          <w:rFonts w:hint="eastAsia" w:ascii="宋体" w:hAnsi="宋体"/>
          <w:color w:val="auto"/>
          <w:sz w:val="36"/>
          <w:highlight w:val="none"/>
        </w:rPr>
        <w:t>江苏省复员退伍军人精神病医院磁共振成像系统采购项目公开招标文件（二次）</w:t>
      </w:r>
    </w:p>
    <w:p w14:paraId="5E6F2AD9">
      <w:pPr>
        <w:pStyle w:val="8"/>
        <w:rPr>
          <w:rFonts w:ascii="宋体" w:hAnsi="宋体" w:eastAsia="宋体"/>
          <w:color w:val="auto"/>
          <w:highlight w:val="none"/>
        </w:rPr>
      </w:pPr>
    </w:p>
    <w:p w14:paraId="38755C49">
      <w:pPr>
        <w:pStyle w:val="4"/>
        <w:spacing w:line="360" w:lineRule="auto"/>
        <w:rPr>
          <w:rFonts w:ascii="宋体" w:hAnsi="宋体"/>
          <w:color w:val="auto"/>
          <w:highlight w:val="none"/>
        </w:rPr>
      </w:pPr>
      <w:r>
        <w:rPr>
          <w:rFonts w:ascii="宋体" w:hAnsi="宋体"/>
          <w:color w:val="auto"/>
          <w:sz w:val="36"/>
          <w:highlight w:val="none"/>
        </w:rPr>
        <w:drawing>
          <wp:inline distT="0" distB="0" distL="114300" distR="114300">
            <wp:extent cx="5571490" cy="3817620"/>
            <wp:effectExtent l="0" t="0" r="6350" b="7620"/>
            <wp:docPr id="2" name="图片 1" descr="微信图片_20180905155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微信图片_20180905155510"/>
                    <pic:cNvPicPr>
                      <a:picLocks noChangeAspect="1"/>
                    </pic:cNvPicPr>
                  </pic:nvPicPr>
                  <pic:blipFill>
                    <a:blip r:embed="rId7"/>
                    <a:stretch>
                      <a:fillRect/>
                    </a:stretch>
                  </pic:blipFill>
                  <pic:spPr>
                    <a:xfrm>
                      <a:off x="0" y="0"/>
                      <a:ext cx="5571490" cy="3817620"/>
                    </a:xfrm>
                    <a:prstGeom prst="rect">
                      <a:avLst/>
                    </a:prstGeom>
                    <a:noFill/>
                    <a:ln>
                      <a:noFill/>
                    </a:ln>
                  </pic:spPr>
                </pic:pic>
              </a:graphicData>
            </a:graphic>
          </wp:inline>
        </w:drawing>
      </w:r>
    </w:p>
    <w:p w14:paraId="6ED5CF2C">
      <w:pPr>
        <w:spacing w:line="360" w:lineRule="auto"/>
        <w:jc w:val="center"/>
        <w:rPr>
          <w:rFonts w:ascii="宋体" w:hAnsi="宋体"/>
          <w:color w:val="auto"/>
          <w:sz w:val="36"/>
          <w:highlight w:val="none"/>
        </w:rPr>
      </w:pPr>
    </w:p>
    <w:p w14:paraId="7681D721">
      <w:pPr>
        <w:spacing w:line="360" w:lineRule="auto"/>
        <w:jc w:val="center"/>
        <w:rPr>
          <w:rFonts w:ascii="宋体" w:hAnsi="宋体"/>
          <w:color w:val="auto"/>
          <w:sz w:val="36"/>
          <w:highlight w:val="none"/>
        </w:rPr>
      </w:pPr>
    </w:p>
    <w:p w14:paraId="47A388F9">
      <w:pPr>
        <w:spacing w:line="360" w:lineRule="auto"/>
        <w:jc w:val="center"/>
        <w:rPr>
          <w:rFonts w:ascii="宋体" w:hAnsi="宋体"/>
          <w:color w:val="auto"/>
          <w:sz w:val="36"/>
          <w:highlight w:val="none"/>
        </w:rPr>
      </w:pPr>
      <w:r>
        <w:rPr>
          <w:rFonts w:hint="eastAsia" w:ascii="宋体" w:hAnsi="宋体"/>
          <w:color w:val="auto"/>
          <w:sz w:val="36"/>
          <w:highlight w:val="none"/>
        </w:rPr>
        <w:t>江苏汇诚投资咨询管理有限公司</w:t>
      </w:r>
    </w:p>
    <w:p w14:paraId="6CCC4E6C">
      <w:pPr>
        <w:spacing w:line="360" w:lineRule="auto"/>
        <w:jc w:val="center"/>
        <w:rPr>
          <w:rFonts w:ascii="宋体" w:hAnsi="宋体"/>
          <w:color w:val="auto"/>
          <w:sz w:val="36"/>
          <w:highlight w:val="none"/>
        </w:rPr>
      </w:pPr>
      <w:r>
        <w:rPr>
          <w:rFonts w:hint="eastAsia" w:ascii="宋体" w:hAnsi="宋体"/>
          <w:color w:val="auto"/>
          <w:sz w:val="36"/>
          <w:highlight w:val="none"/>
        </w:rPr>
        <w:t>2024年10月8日</w:t>
      </w:r>
    </w:p>
    <w:p w14:paraId="5A0CFEF9">
      <w:pPr>
        <w:spacing w:line="360" w:lineRule="auto"/>
        <w:rPr>
          <w:rFonts w:ascii="宋体" w:hAnsi="宋体"/>
          <w:color w:val="auto"/>
          <w:highlight w:val="none"/>
        </w:rPr>
      </w:pPr>
      <w:r>
        <w:rPr>
          <w:rFonts w:ascii="宋体" w:hAnsi="宋体"/>
          <w:color w:val="auto"/>
          <w:highlight w:val="none"/>
        </w:rPr>
        <w:br w:type="page"/>
      </w:r>
    </w:p>
    <w:p w14:paraId="7F637533">
      <w:pPr>
        <w:spacing w:line="360" w:lineRule="auto"/>
        <w:jc w:val="center"/>
        <w:rPr>
          <w:rFonts w:ascii="宋体" w:hAnsi="宋体"/>
          <w:color w:val="auto"/>
          <w:sz w:val="32"/>
          <w:highlight w:val="none"/>
        </w:rPr>
      </w:pPr>
      <w:r>
        <w:rPr>
          <w:rFonts w:hint="eastAsia" w:ascii="宋体" w:hAnsi="宋体"/>
          <w:color w:val="auto"/>
          <w:sz w:val="32"/>
          <w:highlight w:val="none"/>
        </w:rPr>
        <w:t>目 录</w:t>
      </w:r>
    </w:p>
    <w:p w14:paraId="1B2532DA">
      <w:pPr>
        <w:pStyle w:val="16"/>
        <w:tabs>
          <w:tab w:val="right" w:leader="dot" w:pos="8296"/>
        </w:tabs>
        <w:spacing w:line="360" w:lineRule="auto"/>
        <w:rPr>
          <w:rFonts w:ascii="宋体" w:hAnsi="宋体"/>
          <w:color w:val="auto"/>
          <w:highlight w:val="none"/>
        </w:rPr>
      </w:pPr>
      <w:r>
        <w:rPr>
          <w:rFonts w:hint="eastAsia" w:ascii="宋体" w:hAnsi="宋体"/>
          <w:color w:val="auto"/>
          <w:sz w:val="28"/>
          <w:highlight w:val="none"/>
        </w:rPr>
        <w:fldChar w:fldCharType="begin"/>
      </w:r>
      <w:r>
        <w:rPr>
          <w:rFonts w:hint="eastAsia" w:ascii="宋体" w:hAnsi="宋体"/>
          <w:color w:val="auto"/>
          <w:sz w:val="28"/>
          <w:highlight w:val="none"/>
        </w:rPr>
        <w:instrText xml:space="preserve"> TOC \o "1-3" \f </w:instrText>
      </w:r>
      <w:r>
        <w:rPr>
          <w:rFonts w:hint="eastAsia" w:ascii="宋体" w:hAnsi="宋体"/>
          <w:color w:val="auto"/>
          <w:sz w:val="28"/>
          <w:highlight w:val="none"/>
        </w:rPr>
        <w:fldChar w:fldCharType="separate"/>
      </w:r>
      <w:r>
        <w:rPr>
          <w:rFonts w:hint="eastAsia" w:ascii="宋体" w:hAnsi="宋体"/>
          <w:color w:val="auto"/>
          <w:highlight w:val="none"/>
        </w:rPr>
        <w:t>第一章 招标公告</w:t>
      </w:r>
      <w:r>
        <w:rPr>
          <w:rFonts w:hint="eastAsia" w:ascii="宋体" w:hAnsi="宋体"/>
          <w:color w:val="auto"/>
          <w:highlight w:val="none"/>
        </w:rPr>
        <w:tab/>
      </w:r>
      <w:r>
        <w:rPr>
          <w:rFonts w:hint="eastAsia" w:ascii="宋体" w:hAnsi="宋体"/>
          <w:color w:val="auto"/>
          <w:highlight w:val="none"/>
        </w:rPr>
        <w:t>3</w:t>
      </w:r>
    </w:p>
    <w:p w14:paraId="00F62651">
      <w:pPr>
        <w:pStyle w:val="16"/>
        <w:tabs>
          <w:tab w:val="right" w:leader="dot" w:pos="8296"/>
        </w:tabs>
        <w:spacing w:line="360" w:lineRule="auto"/>
        <w:rPr>
          <w:rFonts w:ascii="宋体" w:hAnsi="宋体"/>
          <w:color w:val="auto"/>
          <w:highlight w:val="none"/>
        </w:rPr>
      </w:pPr>
      <w:r>
        <w:rPr>
          <w:rFonts w:hint="eastAsia" w:ascii="宋体" w:hAnsi="宋体"/>
          <w:color w:val="auto"/>
          <w:highlight w:val="none"/>
        </w:rPr>
        <w:t>第二章 投标人须知</w:t>
      </w:r>
      <w:r>
        <w:rPr>
          <w:rFonts w:hint="eastAsia" w:ascii="宋体" w:hAnsi="宋体"/>
          <w:color w:val="auto"/>
          <w:highlight w:val="none"/>
        </w:rPr>
        <w:tab/>
      </w:r>
      <w:r>
        <w:rPr>
          <w:rFonts w:hint="eastAsia" w:ascii="宋体" w:hAnsi="宋体"/>
          <w:color w:val="auto"/>
          <w:highlight w:val="none"/>
        </w:rPr>
        <w:t>7</w:t>
      </w:r>
    </w:p>
    <w:p w14:paraId="57FF4E8D">
      <w:pPr>
        <w:pStyle w:val="16"/>
        <w:tabs>
          <w:tab w:val="right" w:leader="dot" w:pos="8296"/>
        </w:tabs>
        <w:spacing w:line="360" w:lineRule="auto"/>
        <w:rPr>
          <w:rFonts w:ascii="宋体" w:hAnsi="宋体"/>
          <w:color w:val="auto"/>
          <w:highlight w:val="none"/>
        </w:rPr>
      </w:pPr>
      <w:r>
        <w:rPr>
          <w:rFonts w:hint="eastAsia" w:ascii="宋体" w:hAnsi="宋体"/>
          <w:color w:val="auto"/>
          <w:highlight w:val="none"/>
        </w:rPr>
        <w:t>第三章 合同条款及格式</w:t>
      </w:r>
      <w:r>
        <w:rPr>
          <w:rFonts w:hint="eastAsia" w:ascii="宋体" w:hAnsi="宋体"/>
          <w:color w:val="auto"/>
          <w:highlight w:val="none"/>
        </w:rPr>
        <w:tab/>
      </w:r>
      <w:r>
        <w:rPr>
          <w:rFonts w:hint="eastAsia" w:ascii="宋体" w:hAnsi="宋体"/>
          <w:color w:val="auto"/>
          <w:highlight w:val="none"/>
        </w:rPr>
        <w:t>20</w:t>
      </w:r>
    </w:p>
    <w:p w14:paraId="77B09575">
      <w:pPr>
        <w:pStyle w:val="16"/>
        <w:tabs>
          <w:tab w:val="right" w:leader="dot" w:pos="8296"/>
        </w:tabs>
        <w:spacing w:line="360" w:lineRule="auto"/>
        <w:rPr>
          <w:rFonts w:ascii="宋体" w:hAnsi="宋体"/>
          <w:color w:val="auto"/>
          <w:highlight w:val="none"/>
        </w:rPr>
      </w:pPr>
      <w:r>
        <w:rPr>
          <w:rFonts w:hint="eastAsia" w:ascii="宋体" w:hAnsi="宋体"/>
          <w:color w:val="auto"/>
          <w:highlight w:val="none"/>
        </w:rPr>
        <w:t>第四章 项目需求</w:t>
      </w:r>
      <w:r>
        <w:rPr>
          <w:rFonts w:hint="eastAsia" w:ascii="宋体" w:hAnsi="宋体"/>
          <w:color w:val="auto"/>
          <w:highlight w:val="none"/>
        </w:rPr>
        <w:tab/>
      </w:r>
      <w:r>
        <w:rPr>
          <w:rFonts w:hint="eastAsia" w:ascii="宋体" w:hAnsi="宋体"/>
          <w:color w:val="auto"/>
          <w:highlight w:val="none"/>
        </w:rPr>
        <w:t>25</w:t>
      </w:r>
    </w:p>
    <w:p w14:paraId="73D4F7FF">
      <w:pPr>
        <w:pStyle w:val="16"/>
        <w:tabs>
          <w:tab w:val="right" w:leader="dot" w:pos="8296"/>
        </w:tabs>
        <w:spacing w:line="360" w:lineRule="auto"/>
        <w:rPr>
          <w:rFonts w:ascii="宋体" w:hAnsi="宋体"/>
          <w:color w:val="auto"/>
          <w:highlight w:val="none"/>
        </w:rPr>
      </w:pPr>
      <w:r>
        <w:rPr>
          <w:rFonts w:hint="eastAsia" w:ascii="宋体" w:hAnsi="宋体"/>
          <w:color w:val="auto"/>
          <w:highlight w:val="none"/>
        </w:rPr>
        <w:t>第五章 评标方法及评标标准</w:t>
      </w:r>
      <w:r>
        <w:rPr>
          <w:rFonts w:hint="eastAsia" w:ascii="宋体" w:hAnsi="宋体"/>
          <w:color w:val="auto"/>
          <w:highlight w:val="none"/>
        </w:rPr>
        <w:tab/>
      </w:r>
      <w:r>
        <w:rPr>
          <w:rFonts w:hint="eastAsia" w:ascii="宋体" w:hAnsi="宋体"/>
          <w:color w:val="auto"/>
          <w:highlight w:val="none"/>
        </w:rPr>
        <w:t>34</w:t>
      </w:r>
    </w:p>
    <w:p w14:paraId="6B58F067">
      <w:pPr>
        <w:pStyle w:val="16"/>
        <w:tabs>
          <w:tab w:val="right" w:leader="dot" w:pos="8296"/>
        </w:tabs>
        <w:spacing w:line="360" w:lineRule="auto"/>
        <w:rPr>
          <w:rFonts w:ascii="宋体" w:hAnsi="宋体"/>
          <w:color w:val="auto"/>
          <w:highlight w:val="none"/>
        </w:rPr>
      </w:pPr>
      <w:r>
        <w:rPr>
          <w:rFonts w:hint="eastAsia" w:ascii="宋体" w:hAnsi="宋体"/>
          <w:color w:val="auto"/>
          <w:highlight w:val="none"/>
        </w:rPr>
        <w:t>第六章 投标文件格式</w:t>
      </w:r>
      <w:r>
        <w:rPr>
          <w:rFonts w:hint="eastAsia" w:ascii="宋体" w:hAnsi="宋体"/>
          <w:color w:val="auto"/>
          <w:highlight w:val="none"/>
        </w:rPr>
        <w:tab/>
      </w:r>
      <w:r>
        <w:rPr>
          <w:rFonts w:hint="eastAsia" w:ascii="宋体" w:hAnsi="宋体"/>
          <w:color w:val="auto"/>
          <w:highlight w:val="none"/>
        </w:rPr>
        <w:t>38</w:t>
      </w:r>
    </w:p>
    <w:p w14:paraId="7EE8BDC3">
      <w:pPr>
        <w:spacing w:line="360" w:lineRule="auto"/>
        <w:rPr>
          <w:rFonts w:ascii="宋体" w:hAnsi="宋体"/>
          <w:color w:val="auto"/>
          <w:sz w:val="28"/>
          <w:highlight w:val="none"/>
        </w:rPr>
      </w:pPr>
      <w:r>
        <w:rPr>
          <w:rFonts w:hint="eastAsia" w:ascii="宋体" w:hAnsi="宋体"/>
          <w:color w:val="auto"/>
          <w:sz w:val="28"/>
          <w:highlight w:val="none"/>
        </w:rPr>
        <w:fldChar w:fldCharType="end"/>
      </w:r>
    </w:p>
    <w:p w14:paraId="36A4F3EA">
      <w:pPr>
        <w:pStyle w:val="2"/>
        <w:spacing w:line="360" w:lineRule="auto"/>
        <w:jc w:val="center"/>
        <w:rPr>
          <w:rFonts w:ascii="宋体" w:hAnsi="宋体"/>
          <w:color w:val="auto"/>
          <w:szCs w:val="36"/>
          <w:highlight w:val="none"/>
        </w:rPr>
        <w:sectPr>
          <w:headerReference r:id="rId3" w:type="default"/>
          <w:footerReference r:id="rId4" w:type="default"/>
          <w:pgSz w:w="11906" w:h="16838"/>
          <w:pgMar w:top="1440" w:right="1800" w:bottom="1440" w:left="1800" w:header="851" w:footer="992" w:gutter="0"/>
          <w:cols w:space="720" w:num="1"/>
          <w:docGrid w:type="lines" w:linePitch="312" w:charSpace="0"/>
        </w:sectPr>
      </w:pPr>
      <w:bookmarkStart w:id="0" w:name="_Toc55204177"/>
    </w:p>
    <w:p w14:paraId="4097707F">
      <w:pPr>
        <w:pStyle w:val="2"/>
        <w:spacing w:line="360" w:lineRule="auto"/>
        <w:jc w:val="center"/>
        <w:rPr>
          <w:rFonts w:ascii="宋体" w:hAnsi="宋体"/>
          <w:color w:val="auto"/>
          <w:szCs w:val="36"/>
          <w:highlight w:val="none"/>
        </w:rPr>
      </w:pPr>
      <w:r>
        <w:rPr>
          <w:rFonts w:hint="eastAsia" w:ascii="宋体" w:hAnsi="宋体"/>
          <w:color w:val="auto"/>
          <w:szCs w:val="36"/>
          <w:highlight w:val="none"/>
        </w:rPr>
        <w:t>第一章 招标公告</w:t>
      </w:r>
      <w:bookmarkEnd w:id="0"/>
      <w:r>
        <w:rPr>
          <w:rFonts w:hint="eastAsia" w:ascii="宋体" w:hAnsi="宋体"/>
          <w:color w:val="auto"/>
          <w:szCs w:val="36"/>
          <w:highlight w:val="none"/>
        </w:rPr>
        <w:t>（二次）</w:t>
      </w:r>
    </w:p>
    <w:p w14:paraId="067AFDDE">
      <w:pPr>
        <w:tabs>
          <w:tab w:val="left" w:pos="266"/>
        </w:tabs>
        <w:spacing w:line="360" w:lineRule="auto"/>
        <w:ind w:firstLine="420" w:firstLineChars="200"/>
        <w:rPr>
          <w:rFonts w:ascii="宋体" w:hAnsi="宋体" w:cs="宋体"/>
          <w:color w:val="auto"/>
          <w:szCs w:val="21"/>
          <w:highlight w:val="none"/>
        </w:rPr>
      </w:pPr>
      <w:r>
        <w:rPr>
          <w:rFonts w:hint="eastAsia" w:ascii="宋体" w:hAnsi="宋体" w:cs="宋体"/>
          <w:color w:val="auto"/>
          <w:highlight w:val="none"/>
        </w:rPr>
        <w:t>受江苏省复员退伍军人精神病医院的委托，江苏汇诚投资咨询管理有限公司就其磁共振成像系统采购项目进行公开招标采购，欢迎符合条件的供应商投标。</w:t>
      </w:r>
    </w:p>
    <w:p w14:paraId="7DBA03D1">
      <w:pPr>
        <w:pBdr>
          <w:top w:val="single" w:color="auto" w:sz="4" w:space="1"/>
          <w:left w:val="single" w:color="auto" w:sz="4" w:space="4"/>
          <w:bottom w:val="single" w:color="auto" w:sz="4" w:space="1"/>
          <w:right w:val="single" w:color="auto" w:sz="4" w:space="4"/>
        </w:pBdr>
        <w:spacing w:line="360" w:lineRule="auto"/>
        <w:ind w:firstLine="422" w:firstLineChars="200"/>
        <w:rPr>
          <w:rFonts w:ascii="宋体" w:hAnsi="宋体" w:cs="宋体"/>
          <w:b/>
          <w:bCs/>
          <w:color w:val="auto"/>
          <w:highlight w:val="none"/>
        </w:rPr>
      </w:pPr>
      <w:r>
        <w:rPr>
          <w:rFonts w:hint="eastAsia" w:ascii="宋体" w:hAnsi="宋体" w:cs="宋体"/>
          <w:b/>
          <w:bCs/>
          <w:color w:val="auto"/>
          <w:highlight w:val="none"/>
        </w:rPr>
        <w:t>项目概况</w:t>
      </w:r>
    </w:p>
    <w:p w14:paraId="5A89FCA9">
      <w:pPr>
        <w:pBdr>
          <w:top w:val="single" w:color="auto" w:sz="4" w:space="1"/>
          <w:left w:val="single" w:color="auto" w:sz="4" w:space="4"/>
          <w:bottom w:val="single" w:color="auto" w:sz="4" w:space="1"/>
          <w:right w:val="single" w:color="auto" w:sz="4" w:space="4"/>
        </w:pBdr>
        <w:spacing w:line="360" w:lineRule="auto"/>
        <w:ind w:firstLine="420" w:firstLineChars="200"/>
        <w:rPr>
          <w:rFonts w:ascii="宋体" w:hAnsi="宋体" w:cs="宋体"/>
          <w:color w:val="auto"/>
          <w:highlight w:val="none"/>
        </w:rPr>
      </w:pPr>
      <w:r>
        <w:rPr>
          <w:rFonts w:hint="eastAsia" w:ascii="宋体" w:hAnsi="宋体" w:cs="宋体"/>
          <w:color w:val="auto"/>
          <w:highlight w:val="none"/>
          <w:u w:val="single"/>
        </w:rPr>
        <w:t>江苏省复员退伍军人精神病医院磁共振成像系统</w:t>
      </w:r>
      <w:r>
        <w:rPr>
          <w:rFonts w:hint="eastAsia" w:ascii="宋体" w:hAnsi="宋体" w:cs="宋体"/>
          <w:color w:val="auto"/>
          <w:highlight w:val="none"/>
        </w:rPr>
        <w:t>招标项目的潜在投标人可在</w:t>
      </w:r>
      <w:r>
        <w:rPr>
          <w:rFonts w:hint="eastAsia" w:ascii="宋体" w:hAnsi="宋体" w:cs="宋体"/>
          <w:color w:val="auto"/>
          <w:highlight w:val="none"/>
          <w:u w:val="single"/>
        </w:rPr>
        <w:t>江苏汇诚投资咨询管理有限公司三楼代理部（扬州市邗江北路68号旺角西入口）获取</w:t>
      </w:r>
      <w:r>
        <w:rPr>
          <w:rFonts w:hint="eastAsia" w:ascii="宋体" w:hAnsi="宋体" w:cs="宋体"/>
          <w:color w:val="auto"/>
          <w:highlight w:val="none"/>
        </w:rPr>
        <w:t>招标文件，并于</w:t>
      </w:r>
      <w:r>
        <w:rPr>
          <w:rFonts w:ascii="宋体" w:hAnsi="宋体" w:cs="宋体"/>
          <w:bCs/>
          <w:color w:val="auto"/>
          <w:highlight w:val="none"/>
          <w:u w:val="single"/>
        </w:rPr>
        <w:t>202</w:t>
      </w:r>
      <w:r>
        <w:rPr>
          <w:rFonts w:hint="eastAsia" w:ascii="宋体" w:hAnsi="宋体" w:cs="宋体"/>
          <w:bCs/>
          <w:color w:val="auto"/>
          <w:highlight w:val="none"/>
          <w:u w:val="single"/>
        </w:rPr>
        <w:t>4</w:t>
      </w:r>
      <w:r>
        <w:rPr>
          <w:rFonts w:ascii="宋体" w:hAnsi="宋体" w:cs="宋体"/>
          <w:bCs/>
          <w:color w:val="auto"/>
          <w:highlight w:val="none"/>
          <w:u w:val="single"/>
        </w:rPr>
        <w:t>年</w:t>
      </w:r>
      <w:r>
        <w:rPr>
          <w:rFonts w:hint="eastAsia" w:ascii="宋体" w:hAnsi="宋体" w:cs="宋体"/>
          <w:bCs/>
          <w:color w:val="auto"/>
          <w:highlight w:val="none"/>
          <w:u w:val="single"/>
        </w:rPr>
        <w:t>10月29日</w:t>
      </w:r>
      <w:r>
        <w:rPr>
          <w:rFonts w:hint="eastAsia" w:ascii="宋体" w:hAnsi="宋体" w:cs="宋体"/>
          <w:bCs/>
          <w:color w:val="auto"/>
          <w:highlight w:val="none"/>
          <w:u w:val="single"/>
          <w:lang w:val="en-US" w:eastAsia="zh-CN"/>
        </w:rPr>
        <w:t>14</w:t>
      </w:r>
      <w:r>
        <w:rPr>
          <w:rFonts w:ascii="宋体" w:hAnsi="宋体" w:cs="宋体"/>
          <w:bCs/>
          <w:color w:val="auto"/>
          <w:highlight w:val="none"/>
          <w:u w:val="single"/>
        </w:rPr>
        <w:t>点</w:t>
      </w:r>
      <w:r>
        <w:rPr>
          <w:rFonts w:hint="eastAsia" w:ascii="宋体" w:hAnsi="宋体" w:cs="宋体"/>
          <w:bCs/>
          <w:color w:val="auto"/>
          <w:highlight w:val="none"/>
          <w:u w:val="single"/>
        </w:rPr>
        <w:t>3</w:t>
      </w:r>
      <w:r>
        <w:rPr>
          <w:rFonts w:ascii="宋体" w:hAnsi="宋体" w:cs="宋体"/>
          <w:bCs/>
          <w:color w:val="auto"/>
          <w:highlight w:val="none"/>
          <w:u w:val="single"/>
        </w:rPr>
        <w:t>0分</w:t>
      </w:r>
      <w:r>
        <w:rPr>
          <w:rFonts w:hint="eastAsia" w:ascii="宋体" w:hAnsi="宋体" w:cs="宋体"/>
          <w:bCs/>
          <w:color w:val="auto"/>
          <w:highlight w:val="none"/>
          <w:u w:val="single"/>
        </w:rPr>
        <w:t>（</w:t>
      </w:r>
      <w:r>
        <w:rPr>
          <w:rFonts w:hint="eastAsia" w:ascii="宋体" w:hAnsi="宋体" w:cs="宋体"/>
          <w:bCs/>
          <w:color w:val="auto"/>
          <w:highlight w:val="none"/>
        </w:rPr>
        <w:t>北京时间）前递交投标文件</w:t>
      </w:r>
      <w:r>
        <w:rPr>
          <w:rFonts w:hint="eastAsia" w:ascii="宋体" w:hAnsi="宋体" w:cs="宋体"/>
          <w:color w:val="auto"/>
          <w:highlight w:val="none"/>
        </w:rPr>
        <w:t>。</w:t>
      </w:r>
    </w:p>
    <w:p w14:paraId="6905514C">
      <w:pPr>
        <w:tabs>
          <w:tab w:val="left" w:pos="266"/>
        </w:tabs>
        <w:spacing w:line="360" w:lineRule="auto"/>
        <w:rPr>
          <w:rFonts w:ascii="宋体" w:hAnsi="宋体" w:cs="宋体"/>
          <w:b/>
          <w:bCs/>
          <w:color w:val="auto"/>
          <w:highlight w:val="none"/>
        </w:rPr>
      </w:pPr>
      <w:bookmarkStart w:id="1" w:name="_Toc28359079"/>
      <w:bookmarkStart w:id="2" w:name="_Toc35393790"/>
      <w:bookmarkStart w:id="3" w:name="_Toc28359002"/>
      <w:bookmarkStart w:id="4" w:name="_Toc38985263"/>
      <w:bookmarkStart w:id="5" w:name="_Toc35393621"/>
      <w:bookmarkStart w:id="6" w:name="_Hlk24379207"/>
      <w:r>
        <w:rPr>
          <w:rFonts w:hint="eastAsia" w:ascii="宋体" w:hAnsi="宋体" w:cs="宋体"/>
          <w:b/>
          <w:bCs/>
          <w:color w:val="auto"/>
          <w:highlight w:val="none"/>
        </w:rPr>
        <w:t>一、项目基本情况</w:t>
      </w:r>
      <w:bookmarkEnd w:id="1"/>
      <w:bookmarkEnd w:id="2"/>
      <w:bookmarkEnd w:id="3"/>
      <w:bookmarkEnd w:id="4"/>
      <w:bookmarkEnd w:id="5"/>
    </w:p>
    <w:p w14:paraId="2FF02038">
      <w:pPr>
        <w:spacing w:line="360" w:lineRule="auto"/>
        <w:ind w:firstLine="420" w:firstLineChars="200"/>
        <w:rPr>
          <w:rFonts w:hint="eastAsia" w:ascii="宋体" w:hAnsi="宋体" w:eastAsia="宋体" w:cstheme="minorEastAsia"/>
          <w:color w:val="auto"/>
          <w:szCs w:val="21"/>
          <w:highlight w:val="none"/>
          <w:lang w:eastAsia="zh-CN"/>
        </w:rPr>
      </w:pPr>
      <w:r>
        <w:rPr>
          <w:rFonts w:hint="eastAsia" w:ascii="宋体" w:hAnsi="宋体" w:cstheme="minorEastAsia"/>
          <w:color w:val="auto"/>
          <w:szCs w:val="21"/>
          <w:highlight w:val="none"/>
        </w:rPr>
        <w:t>1.项目编号：</w:t>
      </w:r>
      <w:r>
        <w:rPr>
          <w:rFonts w:hint="eastAsia" w:ascii="宋体" w:hAnsi="宋体" w:cstheme="minorEastAsia"/>
          <w:color w:val="auto"/>
          <w:szCs w:val="21"/>
          <w:highlight w:val="none"/>
          <w:lang w:eastAsia="zh-CN"/>
        </w:rPr>
        <w:t>JSZC-320000-HCZX-G2024-0089</w:t>
      </w:r>
    </w:p>
    <w:p w14:paraId="2CDD7B91">
      <w:pPr>
        <w:spacing w:line="360" w:lineRule="auto"/>
        <w:ind w:firstLine="420" w:firstLineChars="200"/>
        <w:rPr>
          <w:rFonts w:ascii="宋体" w:hAnsi="宋体" w:cstheme="minorEastAsia"/>
          <w:color w:val="auto"/>
          <w:szCs w:val="21"/>
          <w:highlight w:val="none"/>
        </w:rPr>
      </w:pPr>
      <w:r>
        <w:rPr>
          <w:rFonts w:hint="eastAsia" w:ascii="宋体" w:hAnsi="宋体" w:cstheme="minorEastAsia"/>
          <w:color w:val="auto"/>
          <w:szCs w:val="21"/>
          <w:highlight w:val="none"/>
        </w:rPr>
        <w:t>2.项目名称：</w:t>
      </w:r>
      <w:bookmarkEnd w:id="6"/>
      <w:r>
        <w:rPr>
          <w:rFonts w:hint="eastAsia" w:ascii="宋体" w:hAnsi="宋体" w:cstheme="minorEastAsia"/>
          <w:color w:val="auto"/>
          <w:szCs w:val="21"/>
          <w:highlight w:val="none"/>
        </w:rPr>
        <w:t>江苏省复员退伍军人精神病医院磁共振成像系统采购</w:t>
      </w:r>
    </w:p>
    <w:p w14:paraId="2B583BBF">
      <w:pPr>
        <w:spacing w:line="360" w:lineRule="auto"/>
        <w:ind w:firstLine="420" w:firstLineChars="200"/>
        <w:rPr>
          <w:rFonts w:ascii="宋体" w:hAnsi="宋体" w:cstheme="minorEastAsia"/>
          <w:color w:val="auto"/>
          <w:szCs w:val="21"/>
          <w:highlight w:val="none"/>
        </w:rPr>
      </w:pPr>
      <w:r>
        <w:rPr>
          <w:rFonts w:hint="eastAsia" w:ascii="宋体" w:hAnsi="宋体" w:cstheme="minorEastAsia"/>
          <w:color w:val="auto"/>
          <w:szCs w:val="21"/>
          <w:highlight w:val="none"/>
        </w:rPr>
        <w:t>3.预算金额：</w:t>
      </w:r>
      <w:r>
        <w:rPr>
          <w:rFonts w:hint="eastAsia" w:ascii="宋体" w:hAnsi="宋体" w:cstheme="minorEastAsia"/>
          <w:color w:val="auto"/>
          <w:szCs w:val="21"/>
          <w:highlight w:val="none"/>
        </w:rPr>
        <w:t>1200万元</w:t>
      </w:r>
    </w:p>
    <w:p w14:paraId="13D1E9CE">
      <w:pPr>
        <w:tabs>
          <w:tab w:val="left" w:pos="900"/>
        </w:tabs>
        <w:spacing w:line="360" w:lineRule="auto"/>
        <w:ind w:firstLine="420"/>
        <w:rPr>
          <w:rFonts w:ascii="宋体" w:hAnsi="宋体" w:cstheme="minorEastAsia"/>
          <w:color w:val="auto"/>
          <w:szCs w:val="21"/>
          <w:highlight w:val="none"/>
        </w:rPr>
      </w:pPr>
      <w:r>
        <w:rPr>
          <w:rFonts w:hint="eastAsia" w:ascii="宋体" w:hAnsi="宋体" w:cstheme="minorEastAsia"/>
          <w:color w:val="auto"/>
          <w:szCs w:val="21"/>
          <w:highlight w:val="none"/>
        </w:rPr>
        <w:t>4.本项目设置最高限价，最高限价为</w:t>
      </w:r>
      <w:r>
        <w:rPr>
          <w:rFonts w:hint="eastAsia" w:ascii="宋体" w:hAnsi="宋体" w:cstheme="minorEastAsia"/>
          <w:color w:val="auto"/>
          <w:szCs w:val="21"/>
          <w:highlight w:val="none"/>
        </w:rPr>
        <w:t>1200万元</w:t>
      </w:r>
      <w:r>
        <w:rPr>
          <w:rFonts w:hint="eastAsia" w:ascii="宋体" w:hAnsi="宋体"/>
          <w:color w:val="auto"/>
          <w:szCs w:val="21"/>
          <w:highlight w:val="none"/>
        </w:rPr>
        <w:t>，超过最高限价为无效报价，做无效响应处理。</w:t>
      </w:r>
    </w:p>
    <w:p w14:paraId="79AC04C1">
      <w:pPr>
        <w:spacing w:line="360" w:lineRule="auto"/>
        <w:ind w:firstLine="420" w:firstLineChars="200"/>
        <w:rPr>
          <w:rFonts w:ascii="宋体" w:hAnsi="宋体" w:cstheme="minorEastAsia"/>
          <w:color w:val="auto"/>
          <w:szCs w:val="21"/>
          <w:highlight w:val="none"/>
          <w:u w:val="single"/>
        </w:rPr>
      </w:pPr>
      <w:r>
        <w:rPr>
          <w:rFonts w:hint="eastAsia" w:ascii="宋体" w:hAnsi="宋体" w:cstheme="minorEastAsia"/>
          <w:color w:val="auto"/>
          <w:szCs w:val="21"/>
          <w:highlight w:val="none"/>
        </w:rPr>
        <w:t>5.采购需求：江苏省复员退伍军人精神病医院磁共振成像系统采购，具体详见招标文件第四章。</w:t>
      </w:r>
    </w:p>
    <w:p w14:paraId="35FF2B70">
      <w:pPr>
        <w:spacing w:line="360" w:lineRule="auto"/>
        <w:ind w:firstLine="422" w:firstLineChars="200"/>
        <w:rPr>
          <w:rFonts w:ascii="宋体" w:hAnsi="宋体" w:cstheme="minorEastAsia"/>
          <w:color w:val="auto"/>
          <w:szCs w:val="21"/>
          <w:highlight w:val="none"/>
        </w:rPr>
      </w:pPr>
      <w:r>
        <w:rPr>
          <w:rFonts w:hint="eastAsia" w:ascii="宋体" w:hAnsi="宋体" w:cstheme="minorEastAsia"/>
          <w:b/>
          <w:bCs/>
          <w:color w:val="auto"/>
          <w:szCs w:val="21"/>
          <w:highlight w:val="none"/>
        </w:rPr>
        <w:t>6.合同履行期限：</w:t>
      </w:r>
      <w:r>
        <w:rPr>
          <w:rFonts w:hint="eastAsia" w:ascii="宋体" w:hAnsi="宋体" w:cstheme="minorEastAsia"/>
          <w:color w:val="auto"/>
          <w:szCs w:val="21"/>
          <w:highlight w:val="none"/>
        </w:rPr>
        <w:t xml:space="preserve">签署合同完成后45日内交付合同标的物设备及安装调试到位。 </w:t>
      </w:r>
    </w:p>
    <w:p w14:paraId="3FA8BC55">
      <w:pPr>
        <w:spacing w:line="360" w:lineRule="auto"/>
        <w:ind w:firstLine="420"/>
        <w:rPr>
          <w:rFonts w:ascii="宋体" w:hAnsi="宋体" w:cstheme="minorEastAsia"/>
          <w:color w:val="auto"/>
          <w:szCs w:val="21"/>
          <w:highlight w:val="none"/>
        </w:rPr>
      </w:pPr>
      <w:bookmarkStart w:id="7" w:name="_Toc28359080"/>
      <w:bookmarkStart w:id="8" w:name="_Toc28359003"/>
      <w:bookmarkStart w:id="9" w:name="_Toc38985264"/>
      <w:bookmarkStart w:id="10" w:name="_Toc35393791"/>
      <w:bookmarkStart w:id="11" w:name="_Toc35393622"/>
      <w:r>
        <w:rPr>
          <w:rFonts w:hint="eastAsia" w:ascii="宋体" w:hAnsi="宋体" w:cstheme="minorEastAsia"/>
          <w:color w:val="auto"/>
          <w:szCs w:val="21"/>
          <w:highlight w:val="none"/>
        </w:rPr>
        <w:t>7.本项目不接受联合体投标。</w:t>
      </w:r>
    </w:p>
    <w:p w14:paraId="18B3C5AA">
      <w:pPr>
        <w:spacing w:line="360" w:lineRule="auto"/>
        <w:ind w:firstLine="420"/>
        <w:rPr>
          <w:rFonts w:ascii="宋体" w:hAnsi="宋体" w:cstheme="minorEastAsia"/>
          <w:b/>
          <w:color w:val="auto"/>
          <w:szCs w:val="21"/>
          <w:highlight w:val="none"/>
        </w:rPr>
      </w:pPr>
      <w:r>
        <w:rPr>
          <w:rFonts w:hint="eastAsia" w:ascii="宋体" w:hAnsi="宋体" w:cstheme="minorEastAsia"/>
          <w:b/>
          <w:color w:val="auto"/>
          <w:szCs w:val="21"/>
          <w:highlight w:val="none"/>
        </w:rPr>
        <w:t>8.本项目不接受进口产品投标。</w:t>
      </w:r>
    </w:p>
    <w:p w14:paraId="4C47EBDD">
      <w:pPr>
        <w:tabs>
          <w:tab w:val="left" w:pos="266"/>
        </w:tabs>
        <w:spacing w:line="360" w:lineRule="auto"/>
        <w:rPr>
          <w:rFonts w:ascii="宋体" w:hAnsi="宋体" w:cs="宋体"/>
          <w:b/>
          <w:bCs/>
          <w:color w:val="auto"/>
          <w:highlight w:val="none"/>
        </w:rPr>
      </w:pPr>
      <w:r>
        <w:rPr>
          <w:rFonts w:hint="eastAsia" w:ascii="宋体" w:hAnsi="宋体" w:cs="宋体"/>
          <w:b/>
          <w:bCs/>
          <w:color w:val="auto"/>
          <w:highlight w:val="none"/>
        </w:rPr>
        <w:t>二、申请人的资格要求：</w:t>
      </w:r>
      <w:bookmarkEnd w:id="7"/>
      <w:bookmarkEnd w:id="8"/>
      <w:bookmarkEnd w:id="9"/>
      <w:bookmarkEnd w:id="10"/>
      <w:bookmarkEnd w:id="11"/>
    </w:p>
    <w:p w14:paraId="5D8A83BE">
      <w:pPr>
        <w:spacing w:line="360" w:lineRule="auto"/>
        <w:ind w:firstLine="420" w:firstLineChars="200"/>
        <w:rPr>
          <w:rFonts w:ascii="宋体" w:hAnsi="宋体" w:cstheme="minorEastAsia"/>
          <w:color w:val="auto"/>
          <w:szCs w:val="21"/>
          <w:highlight w:val="none"/>
        </w:rPr>
      </w:pPr>
      <w:bookmarkStart w:id="12" w:name="_Toc35393792"/>
      <w:bookmarkStart w:id="13" w:name="_Toc28359081"/>
      <w:bookmarkStart w:id="14" w:name="_Toc38985265"/>
      <w:bookmarkStart w:id="15" w:name="_Toc35393623"/>
      <w:bookmarkStart w:id="16" w:name="_Toc28359004"/>
      <w:r>
        <w:rPr>
          <w:rFonts w:hint="eastAsia" w:ascii="宋体" w:hAnsi="宋体" w:cstheme="minorEastAsia"/>
          <w:color w:val="auto"/>
          <w:szCs w:val="21"/>
          <w:highlight w:val="none"/>
        </w:rPr>
        <w:t>1.满足《中华人民共和国政府采购法》第二十二条规定，并提供下列材料：</w:t>
      </w:r>
    </w:p>
    <w:p w14:paraId="5B57EE6F">
      <w:pPr>
        <w:spacing w:line="360" w:lineRule="auto"/>
        <w:ind w:firstLine="420" w:firstLineChars="200"/>
        <w:rPr>
          <w:rFonts w:ascii="宋体" w:hAnsi="宋体" w:cstheme="minorEastAsia"/>
          <w:i/>
          <w:iCs/>
          <w:color w:val="auto"/>
          <w:szCs w:val="21"/>
          <w:highlight w:val="none"/>
          <w:u w:val="single"/>
        </w:rPr>
      </w:pPr>
      <w:r>
        <w:rPr>
          <w:rFonts w:hint="eastAsia" w:ascii="宋体" w:hAnsi="宋体" w:cstheme="minorEastAsia"/>
          <w:i/>
          <w:iCs/>
          <w:color w:val="auto"/>
          <w:szCs w:val="21"/>
          <w:highlight w:val="none"/>
          <w:u w:val="single"/>
        </w:rPr>
        <w:t>1.1法人或者其他组织的营业执照等证明文件，自然人的身份证明</w:t>
      </w:r>
    </w:p>
    <w:p w14:paraId="55C018EB">
      <w:pPr>
        <w:spacing w:line="360" w:lineRule="auto"/>
        <w:ind w:firstLine="420" w:firstLineChars="200"/>
        <w:rPr>
          <w:rFonts w:ascii="宋体" w:hAnsi="宋体" w:cstheme="minorEastAsia"/>
          <w:i/>
          <w:iCs/>
          <w:color w:val="auto"/>
          <w:szCs w:val="21"/>
          <w:highlight w:val="none"/>
          <w:u w:val="single"/>
        </w:rPr>
      </w:pPr>
      <w:r>
        <w:rPr>
          <w:rFonts w:hint="eastAsia" w:ascii="宋体" w:hAnsi="宋体" w:cstheme="minorEastAsia"/>
          <w:i/>
          <w:iCs/>
          <w:color w:val="auto"/>
          <w:szCs w:val="21"/>
          <w:highlight w:val="none"/>
          <w:u w:val="single"/>
        </w:rPr>
        <w:t>1.2 依法缴纳职工社会保障资金的证明材料</w:t>
      </w:r>
      <w:r>
        <w:rPr>
          <w:rFonts w:hint="eastAsia" w:ascii="宋体" w:hAnsi="宋体" w:cstheme="minorEastAsia"/>
          <w:b/>
          <w:bCs/>
          <w:i/>
          <w:iCs/>
          <w:color w:val="auto"/>
          <w:szCs w:val="21"/>
          <w:highlight w:val="none"/>
          <w:u w:val="single"/>
        </w:rPr>
        <w:t>(税务、银行或社会保险基金管理部门出具的近三个月内任意一个月缴纳职工社会保障资金的缴款凭证或缴款证明)（投标人依法享受缓缴、免缴的提供证明材料）</w:t>
      </w:r>
    </w:p>
    <w:p w14:paraId="2EF95587">
      <w:pPr>
        <w:spacing w:line="360" w:lineRule="auto"/>
        <w:ind w:firstLine="420" w:firstLineChars="200"/>
        <w:rPr>
          <w:rFonts w:ascii="宋体" w:hAnsi="宋体" w:cstheme="minorEastAsia"/>
          <w:b/>
          <w:bCs/>
          <w:i/>
          <w:iCs/>
          <w:color w:val="auto"/>
          <w:highlight w:val="none"/>
          <w:u w:val="single"/>
        </w:rPr>
      </w:pPr>
      <w:r>
        <w:rPr>
          <w:rFonts w:hint="eastAsia" w:ascii="宋体" w:hAnsi="宋体" w:cstheme="minorEastAsia"/>
          <w:i/>
          <w:iCs/>
          <w:color w:val="auto"/>
          <w:szCs w:val="21"/>
          <w:highlight w:val="none"/>
          <w:u w:val="single"/>
        </w:rPr>
        <w:t>1.3 投标人近三个月内任意一份依法纳税的缴款凭证</w:t>
      </w:r>
      <w:r>
        <w:rPr>
          <w:rFonts w:hint="eastAsia" w:ascii="宋体" w:hAnsi="宋体" w:cstheme="minorEastAsia"/>
          <w:b/>
          <w:bCs/>
          <w:i/>
          <w:iCs/>
          <w:color w:val="auto"/>
          <w:szCs w:val="21"/>
          <w:highlight w:val="none"/>
          <w:u w:val="single"/>
        </w:rPr>
        <w:t>（投标人依法享受缓缴、免缴的提供证明材料）</w:t>
      </w:r>
    </w:p>
    <w:p w14:paraId="64B5504C">
      <w:pPr>
        <w:spacing w:line="360" w:lineRule="auto"/>
        <w:ind w:firstLine="420" w:firstLineChars="200"/>
        <w:rPr>
          <w:rFonts w:ascii="宋体" w:hAnsi="宋体" w:cstheme="minorEastAsia"/>
          <w:b/>
          <w:bCs/>
          <w:i/>
          <w:iCs/>
          <w:color w:val="auto"/>
          <w:szCs w:val="21"/>
          <w:highlight w:val="none"/>
          <w:u w:val="single"/>
        </w:rPr>
      </w:pPr>
      <w:r>
        <w:rPr>
          <w:rFonts w:hint="eastAsia" w:ascii="宋体" w:hAnsi="宋体" w:cstheme="minorEastAsia"/>
          <w:i/>
          <w:iCs/>
          <w:color w:val="auto"/>
          <w:szCs w:val="21"/>
          <w:highlight w:val="none"/>
          <w:u w:val="single"/>
        </w:rPr>
        <w:t>1.4 上一年度的财务报告情况（</w:t>
      </w:r>
      <w:r>
        <w:rPr>
          <w:rFonts w:hint="eastAsia" w:ascii="宋体" w:hAnsi="宋体" w:cstheme="minorEastAsia"/>
          <w:b/>
          <w:bCs/>
          <w:i/>
          <w:iCs/>
          <w:color w:val="auto"/>
          <w:szCs w:val="21"/>
          <w:highlight w:val="none"/>
          <w:u w:val="single"/>
        </w:rPr>
        <w:t>成立不满一年不需提供）</w:t>
      </w:r>
    </w:p>
    <w:p w14:paraId="09866FBF">
      <w:pPr>
        <w:spacing w:line="360" w:lineRule="auto"/>
        <w:ind w:firstLine="420" w:firstLineChars="200"/>
        <w:rPr>
          <w:rFonts w:ascii="宋体" w:hAnsi="宋体" w:cstheme="minorEastAsia"/>
          <w:i/>
          <w:iCs/>
          <w:color w:val="auto"/>
          <w:szCs w:val="21"/>
          <w:highlight w:val="none"/>
          <w:u w:val="single"/>
        </w:rPr>
      </w:pPr>
      <w:r>
        <w:rPr>
          <w:rFonts w:hint="eastAsia" w:ascii="宋体" w:hAnsi="宋体" w:cstheme="minorEastAsia"/>
          <w:i/>
          <w:iCs/>
          <w:color w:val="auto"/>
          <w:szCs w:val="21"/>
          <w:highlight w:val="none"/>
          <w:u w:val="single"/>
        </w:rPr>
        <w:t>1.5 具备履行合同所必需的设备和专业技术能力的证明材料</w:t>
      </w:r>
    </w:p>
    <w:p w14:paraId="0F67D202">
      <w:pPr>
        <w:spacing w:line="360" w:lineRule="auto"/>
        <w:ind w:firstLine="420" w:firstLineChars="200"/>
        <w:rPr>
          <w:rFonts w:ascii="宋体" w:hAnsi="宋体" w:cstheme="minorEastAsia"/>
          <w:i/>
          <w:iCs/>
          <w:color w:val="auto"/>
          <w:szCs w:val="21"/>
          <w:highlight w:val="none"/>
          <w:u w:val="single"/>
        </w:rPr>
      </w:pPr>
      <w:r>
        <w:rPr>
          <w:rFonts w:hint="eastAsia" w:ascii="宋体" w:hAnsi="宋体" w:cstheme="minorEastAsia"/>
          <w:i/>
          <w:iCs/>
          <w:color w:val="auto"/>
          <w:szCs w:val="21"/>
          <w:highlight w:val="none"/>
          <w:u w:val="single"/>
        </w:rPr>
        <w:t>1.6 参加本次政府采购活动前3年内在经营活动中没有重大违法记录的书面声明</w:t>
      </w:r>
    </w:p>
    <w:p w14:paraId="39A97950">
      <w:pPr>
        <w:spacing w:line="360" w:lineRule="auto"/>
        <w:ind w:firstLine="420" w:firstLineChars="200"/>
        <w:rPr>
          <w:rFonts w:ascii="宋体" w:hAnsi="宋体" w:cstheme="minorEastAsia"/>
          <w:b/>
          <w:bCs/>
          <w:i/>
          <w:iCs/>
          <w:color w:val="auto"/>
          <w:szCs w:val="21"/>
          <w:highlight w:val="none"/>
          <w:u w:val="single"/>
        </w:rPr>
      </w:pPr>
      <w:r>
        <w:rPr>
          <w:rFonts w:hint="eastAsia" w:ascii="宋体" w:hAnsi="宋体" w:cstheme="minorEastAsia"/>
          <w:i/>
          <w:iCs/>
          <w:color w:val="auto"/>
          <w:szCs w:val="21"/>
          <w:highlight w:val="none"/>
          <w:u w:val="single"/>
        </w:rPr>
        <w:t>1.7 未被“信用中国”网站（www.creditchina.gov.cn）、“中国政府采购网"(www.ccgp.gov.cn)列入失信被执行人、重大税收违法案件当事人名单、政府采购严重违法失信行为记录名单</w:t>
      </w:r>
    </w:p>
    <w:p w14:paraId="6271283C">
      <w:pPr>
        <w:spacing w:line="360" w:lineRule="auto"/>
        <w:ind w:firstLine="420" w:firstLineChars="200"/>
        <w:rPr>
          <w:rFonts w:ascii="宋体" w:hAnsi="宋体" w:cstheme="minorEastAsia"/>
          <w:i/>
          <w:iCs/>
          <w:color w:val="auto"/>
          <w:szCs w:val="21"/>
          <w:highlight w:val="none"/>
          <w:u w:val="single"/>
        </w:rPr>
      </w:pPr>
      <w:r>
        <w:rPr>
          <w:rFonts w:hint="eastAsia" w:ascii="宋体" w:hAnsi="宋体" w:cstheme="minorEastAsia"/>
          <w:i/>
          <w:iCs/>
          <w:color w:val="auto"/>
          <w:szCs w:val="21"/>
          <w:highlight w:val="none"/>
          <w:u w:val="single"/>
        </w:rPr>
        <w:t>1.8供应商信用承诺函</w:t>
      </w:r>
    </w:p>
    <w:p w14:paraId="7BB28158">
      <w:pPr>
        <w:spacing w:line="360" w:lineRule="auto"/>
        <w:ind w:firstLine="420" w:firstLineChars="200"/>
        <w:rPr>
          <w:rFonts w:ascii="宋体" w:hAnsi="宋体" w:cstheme="minorEastAsia"/>
          <w:color w:val="auto"/>
          <w:szCs w:val="21"/>
          <w:highlight w:val="none"/>
          <w:u w:val="single"/>
        </w:rPr>
      </w:pPr>
      <w:r>
        <w:rPr>
          <w:rFonts w:hint="eastAsia" w:ascii="宋体" w:hAnsi="宋体" w:cs="宋体"/>
          <w:color w:val="auto"/>
          <w:szCs w:val="21"/>
          <w:highlight w:val="none"/>
        </w:rPr>
        <w:t>2.落实政府采购政策需满足的资格要求：</w:t>
      </w:r>
      <w:r>
        <w:rPr>
          <w:rFonts w:hint="eastAsia" w:ascii="宋体" w:hAnsi="宋体" w:cs="宋体"/>
          <w:color w:val="auto"/>
          <w:szCs w:val="21"/>
          <w:highlight w:val="none"/>
          <w:u w:val="single"/>
        </w:rPr>
        <w:t>无</w:t>
      </w:r>
    </w:p>
    <w:p w14:paraId="65EC084F">
      <w:pPr>
        <w:spacing w:line="44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3.本项目的特定资格要求：</w:t>
      </w:r>
    </w:p>
    <w:p w14:paraId="535DE3F9">
      <w:pPr>
        <w:spacing w:line="440" w:lineRule="exact"/>
        <w:ind w:firstLine="420" w:firstLineChars="200"/>
        <w:rPr>
          <w:rFonts w:ascii="宋体" w:hAnsi="宋体" w:cs="宋体"/>
          <w:i/>
          <w:color w:val="auto"/>
          <w:szCs w:val="21"/>
          <w:highlight w:val="none"/>
          <w:u w:val="single"/>
        </w:rPr>
      </w:pPr>
      <w:r>
        <w:rPr>
          <w:rFonts w:hint="eastAsia" w:ascii="宋体" w:hAnsi="宋体" w:cs="宋体"/>
          <w:i/>
          <w:color w:val="auto"/>
          <w:szCs w:val="21"/>
          <w:highlight w:val="none"/>
          <w:u w:val="single"/>
        </w:rPr>
        <w:t>3.1投标人不是所投设备生产厂家，属于三类医疗器械的投标人须具有医疗器械经营企业许可证，属于二类医疗器械的须具有医疗器械经营企业备案登记凭证(提供有效证件复印件加盖投标人公章)；</w:t>
      </w:r>
    </w:p>
    <w:p w14:paraId="3C327362">
      <w:pPr>
        <w:spacing w:line="440" w:lineRule="exact"/>
        <w:ind w:firstLine="420" w:firstLineChars="200"/>
        <w:rPr>
          <w:rFonts w:ascii="宋体" w:hAnsi="宋体" w:cs="宋体"/>
          <w:color w:val="auto"/>
          <w:szCs w:val="21"/>
          <w:highlight w:val="none"/>
        </w:rPr>
      </w:pPr>
      <w:r>
        <w:rPr>
          <w:rFonts w:hint="eastAsia" w:ascii="宋体" w:hAnsi="宋体" w:cs="宋体"/>
          <w:i/>
          <w:color w:val="auto"/>
          <w:szCs w:val="21"/>
          <w:highlight w:val="none"/>
          <w:u w:val="single"/>
        </w:rPr>
        <w:t>3.2 所投设备属于二、三类医疗器械产品的须具有医疗器械注册证、医疗器械生产许可证，属于一类医疗器械产品的须具有产品备案登记凭证、生产企业备案登记凭证(提供有效证件复印件加盖投标人公章)。</w:t>
      </w:r>
    </w:p>
    <w:p w14:paraId="164E3887">
      <w:pPr>
        <w:tabs>
          <w:tab w:val="left" w:pos="266"/>
        </w:tabs>
        <w:spacing w:line="360" w:lineRule="auto"/>
        <w:rPr>
          <w:rFonts w:ascii="宋体" w:hAnsi="宋体" w:cstheme="minorEastAsia"/>
          <w:b/>
          <w:bCs/>
          <w:color w:val="auto"/>
          <w:szCs w:val="21"/>
          <w:highlight w:val="none"/>
        </w:rPr>
      </w:pPr>
      <w:r>
        <w:rPr>
          <w:rFonts w:hint="eastAsia" w:ascii="宋体" w:hAnsi="宋体" w:cstheme="minorEastAsia"/>
          <w:b/>
          <w:bCs/>
          <w:color w:val="auto"/>
          <w:szCs w:val="21"/>
          <w:highlight w:val="none"/>
        </w:rPr>
        <w:t>三、获取招标文件</w:t>
      </w:r>
      <w:bookmarkEnd w:id="12"/>
      <w:bookmarkEnd w:id="13"/>
      <w:bookmarkEnd w:id="14"/>
      <w:bookmarkEnd w:id="15"/>
      <w:bookmarkEnd w:id="16"/>
    </w:p>
    <w:p w14:paraId="0C7D9438">
      <w:pPr>
        <w:spacing w:line="360" w:lineRule="auto"/>
        <w:ind w:firstLine="420" w:firstLineChars="200"/>
        <w:rPr>
          <w:rFonts w:ascii="宋体" w:hAnsi="宋体" w:cstheme="minorEastAsia"/>
          <w:color w:val="auto"/>
          <w:szCs w:val="21"/>
          <w:highlight w:val="none"/>
          <w:u w:val="single"/>
        </w:rPr>
      </w:pPr>
      <w:bookmarkStart w:id="17" w:name="_Toc28359005"/>
      <w:bookmarkStart w:id="18" w:name="_Toc28359082"/>
      <w:bookmarkStart w:id="19" w:name="_Toc38985266"/>
      <w:bookmarkStart w:id="20" w:name="_Toc35393624"/>
      <w:bookmarkStart w:id="21" w:name="_Toc35393793"/>
      <w:r>
        <w:rPr>
          <w:rFonts w:hint="eastAsia" w:ascii="宋体" w:hAnsi="宋体" w:cstheme="minorEastAsia"/>
          <w:color w:val="auto"/>
          <w:szCs w:val="21"/>
          <w:highlight w:val="none"/>
        </w:rPr>
        <w:t>1、时间：</w:t>
      </w:r>
      <w:r>
        <w:rPr>
          <w:rFonts w:hint="eastAsia" w:ascii="宋体" w:hAnsi="宋体" w:cstheme="minorEastAsia"/>
          <w:color w:val="auto"/>
          <w:szCs w:val="21"/>
          <w:highlight w:val="none"/>
          <w:u w:val="single"/>
        </w:rPr>
        <w:t>2024年10月8日至 2024年10月14日 (北京时间)</w:t>
      </w:r>
    </w:p>
    <w:p w14:paraId="678846D0">
      <w:pPr>
        <w:spacing w:line="360" w:lineRule="auto"/>
        <w:ind w:firstLine="420" w:firstLineChars="200"/>
        <w:rPr>
          <w:rFonts w:ascii="宋体" w:hAnsi="宋体" w:cstheme="minorEastAsia"/>
          <w:color w:val="auto"/>
          <w:szCs w:val="21"/>
          <w:highlight w:val="none"/>
          <w:u w:val="single"/>
        </w:rPr>
      </w:pPr>
      <w:r>
        <w:rPr>
          <w:rFonts w:hint="eastAsia" w:ascii="宋体" w:hAnsi="宋体" w:cstheme="minorEastAsia"/>
          <w:color w:val="auto"/>
          <w:szCs w:val="21"/>
          <w:highlight w:val="none"/>
        </w:rPr>
        <w:t>2、地点：</w:t>
      </w:r>
      <w:r>
        <w:rPr>
          <w:rFonts w:hint="eastAsia" w:ascii="宋体" w:hAnsi="宋体" w:cstheme="minorEastAsia"/>
          <w:color w:val="auto"/>
          <w:szCs w:val="21"/>
          <w:highlight w:val="none"/>
          <w:u w:val="single"/>
        </w:rPr>
        <w:t>江苏汇诚投资咨询管理有限公司三楼代理部（扬州市邗江北路68号旺角西入口）</w:t>
      </w:r>
    </w:p>
    <w:p w14:paraId="6A38248D">
      <w:pPr>
        <w:spacing w:line="360" w:lineRule="auto"/>
        <w:ind w:firstLine="420" w:firstLineChars="200"/>
        <w:rPr>
          <w:rFonts w:ascii="宋体" w:hAnsi="宋体" w:cstheme="minorEastAsia"/>
          <w:color w:val="auto"/>
          <w:szCs w:val="21"/>
          <w:highlight w:val="none"/>
        </w:rPr>
      </w:pPr>
      <w:r>
        <w:rPr>
          <w:rFonts w:hint="eastAsia" w:ascii="宋体" w:hAnsi="宋体" w:cstheme="minorEastAsia"/>
          <w:color w:val="auto"/>
          <w:szCs w:val="21"/>
          <w:highlight w:val="none"/>
        </w:rPr>
        <w:t>3、方式：</w:t>
      </w:r>
      <w:r>
        <w:rPr>
          <w:rFonts w:hint="eastAsia" w:ascii="宋体" w:hAnsi="宋体" w:cstheme="minorEastAsia"/>
          <w:color w:val="auto"/>
          <w:szCs w:val="21"/>
          <w:highlight w:val="none"/>
          <w:u w:val="single"/>
        </w:rPr>
        <w:t>现场购买招标文件,如供应商确定参加投标，请于公告期内被授权人持法定代表人授权委托书原件、被授权人身份证原件及复印件、营业执照副本复印件加盖供应商公章、《供应商参加投标确认函》原件（授权委托书及供应商参加投标确认函投标人通过百度网盘链接自行下载）至江苏汇诚投资咨询管理有限公司（邗江北路68号旺角西入口三楼）投标登记，如供应商未按上述要求去做，将自行承担所产生的风险。请各供应商在规定时间内携带符合要求的有效期内的所有投标登记资料，否则不予接受登记。百度网盘链接: https://pan.baidu.com/s/1lIU3ZytOMPgJY8Rvellwvw提取码:JSHC</w:t>
      </w:r>
    </w:p>
    <w:p w14:paraId="56B73E5F">
      <w:pPr>
        <w:spacing w:line="360" w:lineRule="auto"/>
        <w:ind w:firstLine="420" w:firstLineChars="200"/>
        <w:rPr>
          <w:rFonts w:ascii="宋体" w:hAnsi="宋体" w:cstheme="minorEastAsia"/>
          <w:color w:val="auto"/>
          <w:szCs w:val="21"/>
          <w:highlight w:val="none"/>
        </w:rPr>
      </w:pPr>
      <w:r>
        <w:rPr>
          <w:rFonts w:hint="eastAsia" w:ascii="宋体" w:hAnsi="宋体" w:cstheme="minorEastAsia"/>
          <w:color w:val="auto"/>
          <w:szCs w:val="21"/>
          <w:highlight w:val="none"/>
        </w:rPr>
        <w:t>4、售价：</w:t>
      </w:r>
      <w:r>
        <w:rPr>
          <w:rFonts w:hint="eastAsia" w:ascii="宋体" w:hAnsi="宋体" w:cstheme="minorEastAsia"/>
          <w:color w:val="auto"/>
          <w:szCs w:val="21"/>
          <w:highlight w:val="none"/>
          <w:u w:val="single"/>
        </w:rPr>
        <w:t>300元/份，</w:t>
      </w:r>
      <w:r>
        <w:rPr>
          <w:rFonts w:hint="eastAsia" w:ascii="宋体" w:hAnsi="宋体" w:cstheme="minorEastAsia"/>
          <w:color w:val="auto"/>
          <w:spacing w:val="-2"/>
          <w:szCs w:val="21"/>
          <w:highlight w:val="none"/>
          <w:u w:val="single"/>
        </w:rPr>
        <w:t>领取招标文件时缴纳，售后不退。</w:t>
      </w:r>
    </w:p>
    <w:p w14:paraId="0FA2D7F7">
      <w:pPr>
        <w:tabs>
          <w:tab w:val="left" w:pos="266"/>
        </w:tabs>
        <w:spacing w:line="360" w:lineRule="auto"/>
        <w:rPr>
          <w:rFonts w:ascii="宋体" w:hAnsi="宋体" w:cs="宋体"/>
          <w:b/>
          <w:bCs/>
          <w:color w:val="auto"/>
          <w:highlight w:val="none"/>
        </w:rPr>
      </w:pPr>
      <w:r>
        <w:rPr>
          <w:rFonts w:hint="eastAsia" w:ascii="宋体" w:hAnsi="宋体" w:cs="宋体"/>
          <w:b/>
          <w:bCs/>
          <w:color w:val="auto"/>
          <w:highlight w:val="none"/>
        </w:rPr>
        <w:t>四、提交投标文件</w:t>
      </w:r>
      <w:bookmarkEnd w:id="17"/>
      <w:bookmarkEnd w:id="18"/>
      <w:r>
        <w:rPr>
          <w:rFonts w:hint="eastAsia" w:ascii="宋体" w:hAnsi="宋体" w:cs="宋体"/>
          <w:b/>
          <w:bCs/>
          <w:color w:val="auto"/>
          <w:highlight w:val="none"/>
        </w:rPr>
        <w:t>截止时间、开标时间和地点</w:t>
      </w:r>
      <w:bookmarkEnd w:id="19"/>
      <w:bookmarkEnd w:id="20"/>
      <w:bookmarkEnd w:id="21"/>
    </w:p>
    <w:p w14:paraId="09951854">
      <w:pPr>
        <w:spacing w:line="360" w:lineRule="auto"/>
        <w:ind w:firstLine="420" w:firstLineChars="200"/>
        <w:rPr>
          <w:rFonts w:ascii="宋体" w:hAnsi="宋体" w:cs="宋体"/>
          <w:bCs/>
          <w:color w:val="auto"/>
          <w:szCs w:val="21"/>
          <w:highlight w:val="none"/>
          <w:u w:val="single"/>
        </w:rPr>
      </w:pPr>
      <w:r>
        <w:rPr>
          <w:rFonts w:hint="eastAsia" w:ascii="宋体" w:hAnsi="宋体" w:cs="宋体"/>
          <w:color w:val="auto"/>
          <w:highlight w:val="none"/>
        </w:rPr>
        <w:t>1.时间：</w:t>
      </w:r>
      <w:r>
        <w:rPr>
          <w:rFonts w:hint="eastAsia" w:ascii="宋体" w:hAnsi="宋体" w:cs="宋体"/>
          <w:bCs/>
          <w:color w:val="auto"/>
          <w:highlight w:val="none"/>
          <w:u w:val="single"/>
        </w:rPr>
        <w:t>2024年10月29日</w:t>
      </w:r>
      <w:r>
        <w:rPr>
          <w:rFonts w:hint="eastAsia" w:ascii="宋体" w:hAnsi="宋体" w:cs="宋体"/>
          <w:bCs/>
          <w:color w:val="auto"/>
          <w:highlight w:val="none"/>
          <w:u w:val="single"/>
          <w:lang w:val="en-US" w:eastAsia="zh-CN"/>
        </w:rPr>
        <w:t>14</w:t>
      </w:r>
      <w:r>
        <w:rPr>
          <w:rFonts w:hint="eastAsia" w:ascii="宋体" w:hAnsi="宋体" w:cs="宋体"/>
          <w:bCs/>
          <w:color w:val="auto"/>
          <w:highlight w:val="none"/>
          <w:u w:val="single"/>
        </w:rPr>
        <w:t>点30分</w:t>
      </w:r>
      <w:r>
        <w:rPr>
          <w:rFonts w:hint="eastAsia" w:ascii="宋体" w:hAnsi="宋体" w:cs="宋体"/>
          <w:bCs/>
          <w:color w:val="auto"/>
          <w:highlight w:val="none"/>
        </w:rPr>
        <w:t>（北京时间）</w:t>
      </w:r>
    </w:p>
    <w:p w14:paraId="39C8A4D2">
      <w:pPr>
        <w:spacing w:line="360" w:lineRule="auto"/>
        <w:ind w:firstLine="420" w:firstLineChars="200"/>
        <w:rPr>
          <w:rFonts w:ascii="宋体" w:hAnsi="宋体" w:cs="宋体"/>
          <w:bCs/>
          <w:color w:val="auto"/>
          <w:highlight w:val="none"/>
          <w:u w:val="single"/>
        </w:rPr>
      </w:pPr>
      <w:r>
        <w:rPr>
          <w:rFonts w:hint="eastAsia" w:ascii="宋体" w:hAnsi="宋体" w:cs="宋体"/>
          <w:color w:val="auto"/>
          <w:highlight w:val="none"/>
        </w:rPr>
        <w:t>2.开标地点：</w:t>
      </w:r>
      <w:r>
        <w:rPr>
          <w:rFonts w:hint="eastAsia" w:ascii="宋体" w:hAnsi="宋体" w:cs="宋体"/>
          <w:color w:val="auto"/>
          <w:spacing w:val="-6"/>
          <w:szCs w:val="21"/>
          <w:highlight w:val="none"/>
          <w:u w:val="single"/>
        </w:rPr>
        <w:t>江苏汇诚投资咨询管理有限公司开标室（扬州市邗江北路68号旺角西入口三楼）</w:t>
      </w:r>
    </w:p>
    <w:p w14:paraId="439D1CF6">
      <w:pPr>
        <w:tabs>
          <w:tab w:val="left" w:pos="266"/>
        </w:tabs>
        <w:spacing w:line="360" w:lineRule="auto"/>
        <w:rPr>
          <w:rFonts w:ascii="宋体" w:hAnsi="宋体" w:cs="宋体"/>
          <w:b/>
          <w:bCs/>
          <w:color w:val="auto"/>
          <w:highlight w:val="none"/>
        </w:rPr>
      </w:pPr>
      <w:bookmarkStart w:id="22" w:name="_Toc35393802"/>
      <w:bookmarkStart w:id="23" w:name="_Toc35393633"/>
      <w:bookmarkStart w:id="24" w:name="_Toc28359093"/>
      <w:bookmarkStart w:id="25" w:name="_Toc28359016"/>
      <w:bookmarkStart w:id="26" w:name="_Toc28359007"/>
      <w:bookmarkStart w:id="27" w:name="_Toc38985267"/>
      <w:bookmarkStart w:id="28" w:name="_Toc28359084"/>
      <w:bookmarkStart w:id="29" w:name="_Toc35393625"/>
      <w:bookmarkStart w:id="30" w:name="_Toc35393794"/>
      <w:r>
        <w:rPr>
          <w:rFonts w:hint="eastAsia" w:ascii="宋体" w:hAnsi="宋体" w:cs="宋体"/>
          <w:b/>
          <w:bCs/>
          <w:color w:val="auto"/>
          <w:highlight w:val="none"/>
        </w:rPr>
        <w:t>五、开启</w:t>
      </w:r>
      <w:bookmarkEnd w:id="22"/>
      <w:bookmarkEnd w:id="23"/>
      <w:bookmarkEnd w:id="24"/>
      <w:bookmarkEnd w:id="25"/>
    </w:p>
    <w:p w14:paraId="0A39E7AB">
      <w:pPr>
        <w:spacing w:line="360" w:lineRule="auto"/>
        <w:ind w:firstLine="420" w:firstLineChars="200"/>
        <w:rPr>
          <w:rFonts w:ascii="宋体" w:hAnsi="宋体" w:cs="宋体"/>
          <w:bCs/>
          <w:color w:val="auto"/>
          <w:szCs w:val="21"/>
          <w:highlight w:val="none"/>
          <w:u w:val="single"/>
        </w:rPr>
      </w:pPr>
      <w:r>
        <w:rPr>
          <w:rFonts w:hint="eastAsia" w:ascii="宋体" w:hAnsi="宋体" w:cs="宋体"/>
          <w:color w:val="auto"/>
          <w:szCs w:val="21"/>
          <w:highlight w:val="none"/>
        </w:rPr>
        <w:t>1、时间：</w:t>
      </w:r>
      <w:r>
        <w:rPr>
          <w:rFonts w:hint="eastAsia" w:ascii="宋体" w:hAnsi="宋体" w:cs="宋体"/>
          <w:color w:val="auto"/>
          <w:szCs w:val="21"/>
          <w:highlight w:val="none"/>
          <w:u w:val="single"/>
        </w:rPr>
        <w:t>2024年10月29日</w:t>
      </w:r>
      <w:r>
        <w:rPr>
          <w:rFonts w:hint="eastAsia" w:ascii="宋体" w:hAnsi="宋体" w:cs="宋体"/>
          <w:color w:val="auto"/>
          <w:szCs w:val="21"/>
          <w:highlight w:val="none"/>
          <w:u w:val="single"/>
          <w:lang w:val="en-US" w:eastAsia="zh-CN"/>
        </w:rPr>
        <w:t>14</w:t>
      </w:r>
      <w:r>
        <w:rPr>
          <w:rFonts w:hint="eastAsia" w:ascii="宋体" w:hAnsi="宋体" w:cs="宋体"/>
          <w:color w:val="auto"/>
          <w:szCs w:val="21"/>
          <w:highlight w:val="none"/>
          <w:u w:val="single"/>
        </w:rPr>
        <w:t>点30分</w:t>
      </w:r>
      <w:r>
        <w:rPr>
          <w:rFonts w:hint="eastAsia" w:ascii="宋体" w:hAnsi="宋体" w:cs="宋体"/>
          <w:bCs/>
          <w:color w:val="auto"/>
          <w:szCs w:val="21"/>
          <w:highlight w:val="none"/>
          <w:u w:val="single"/>
        </w:rPr>
        <w:t>（北京时间）</w:t>
      </w:r>
    </w:p>
    <w:p w14:paraId="6BE7CB23">
      <w:pPr>
        <w:spacing w:line="360" w:lineRule="auto"/>
        <w:ind w:firstLine="420" w:firstLineChars="200"/>
        <w:rPr>
          <w:rFonts w:ascii="宋体" w:hAnsi="宋体" w:cs="宋体"/>
          <w:b/>
          <w:bCs/>
          <w:color w:val="auto"/>
          <w:highlight w:val="none"/>
        </w:rPr>
      </w:pPr>
      <w:r>
        <w:rPr>
          <w:rFonts w:hint="eastAsia" w:ascii="宋体" w:hAnsi="宋体" w:cs="宋体"/>
          <w:color w:val="auto"/>
          <w:szCs w:val="21"/>
          <w:highlight w:val="none"/>
        </w:rPr>
        <w:t>2、地点：</w:t>
      </w:r>
      <w:r>
        <w:rPr>
          <w:rFonts w:hint="eastAsia" w:ascii="宋体" w:hAnsi="宋体" w:cs="宋体"/>
          <w:color w:val="auto"/>
          <w:spacing w:val="-6"/>
          <w:szCs w:val="21"/>
          <w:highlight w:val="none"/>
          <w:u w:val="single"/>
        </w:rPr>
        <w:t>江苏汇诚投资咨询管理有限公司开标室（扬州市邗江北路68号旺角西入口三楼）</w:t>
      </w:r>
    </w:p>
    <w:p w14:paraId="53CEC33C">
      <w:pPr>
        <w:tabs>
          <w:tab w:val="left" w:pos="266"/>
        </w:tabs>
        <w:spacing w:line="360" w:lineRule="auto"/>
        <w:rPr>
          <w:rFonts w:ascii="宋体" w:hAnsi="宋体" w:cs="宋体"/>
          <w:b/>
          <w:bCs/>
          <w:color w:val="auto"/>
          <w:highlight w:val="none"/>
        </w:rPr>
      </w:pPr>
      <w:r>
        <w:rPr>
          <w:rFonts w:hint="eastAsia" w:ascii="宋体" w:hAnsi="宋体" w:cs="宋体"/>
          <w:b/>
          <w:bCs/>
          <w:color w:val="auto"/>
          <w:highlight w:val="none"/>
        </w:rPr>
        <w:t>六、公告期限</w:t>
      </w:r>
      <w:bookmarkEnd w:id="26"/>
      <w:bookmarkEnd w:id="27"/>
      <w:bookmarkEnd w:id="28"/>
      <w:bookmarkEnd w:id="29"/>
      <w:bookmarkEnd w:id="30"/>
    </w:p>
    <w:p w14:paraId="005C95B9">
      <w:pPr>
        <w:spacing w:line="360" w:lineRule="auto"/>
        <w:ind w:firstLine="420" w:firstLineChars="200"/>
        <w:rPr>
          <w:rFonts w:ascii="宋体" w:hAnsi="宋体" w:cs="宋体"/>
          <w:color w:val="auto"/>
          <w:kern w:val="0"/>
          <w:highlight w:val="none"/>
        </w:rPr>
      </w:pPr>
      <w:bookmarkStart w:id="31" w:name="_Toc35393795"/>
      <w:bookmarkStart w:id="32" w:name="_Toc35393626"/>
      <w:bookmarkStart w:id="33" w:name="_Toc38985268"/>
      <w:r>
        <w:rPr>
          <w:rFonts w:hint="eastAsia" w:ascii="宋体" w:hAnsi="宋体" w:cs="宋体"/>
          <w:color w:val="auto"/>
          <w:kern w:val="0"/>
          <w:highlight w:val="none"/>
        </w:rPr>
        <w:t>招标公告及招标文件公告期限为自本公告发布之日起5个工作日。</w:t>
      </w:r>
    </w:p>
    <w:p w14:paraId="1FE6DF91">
      <w:pPr>
        <w:tabs>
          <w:tab w:val="left" w:pos="266"/>
        </w:tabs>
        <w:spacing w:line="360" w:lineRule="auto"/>
        <w:rPr>
          <w:rFonts w:ascii="宋体" w:hAnsi="宋体" w:cs="宋体"/>
          <w:b/>
          <w:bCs/>
          <w:color w:val="auto"/>
          <w:highlight w:val="none"/>
        </w:rPr>
      </w:pPr>
      <w:r>
        <w:rPr>
          <w:rFonts w:hint="eastAsia" w:ascii="宋体" w:hAnsi="宋体" w:cs="宋体"/>
          <w:b/>
          <w:bCs/>
          <w:color w:val="auto"/>
          <w:highlight w:val="none"/>
        </w:rPr>
        <w:t>七、其他补充事宜</w:t>
      </w:r>
      <w:bookmarkEnd w:id="31"/>
      <w:bookmarkEnd w:id="32"/>
      <w:bookmarkEnd w:id="33"/>
    </w:p>
    <w:p w14:paraId="4102B478">
      <w:pPr>
        <w:spacing w:line="440" w:lineRule="exact"/>
        <w:ind w:firstLine="525" w:firstLineChars="250"/>
        <w:rPr>
          <w:rFonts w:ascii="宋体" w:hAnsi="宋体" w:cs="宋体"/>
          <w:color w:val="auto"/>
          <w:szCs w:val="21"/>
          <w:highlight w:val="none"/>
        </w:rPr>
      </w:pPr>
      <w:bookmarkStart w:id="34" w:name="_Toc35393627"/>
      <w:bookmarkStart w:id="35" w:name="_Toc35393796"/>
      <w:bookmarkStart w:id="36" w:name="_Toc28359085"/>
      <w:bookmarkStart w:id="37" w:name="_Toc38985269"/>
      <w:bookmarkStart w:id="38" w:name="_Toc28359008"/>
      <w:r>
        <w:rPr>
          <w:rFonts w:hint="eastAsia" w:ascii="宋体" w:hAnsi="宋体" w:cs="宋体"/>
          <w:color w:val="auto"/>
          <w:szCs w:val="21"/>
          <w:highlight w:val="none"/>
        </w:rPr>
        <w:t>7.1本次响应文件制作份数要求：</w:t>
      </w:r>
    </w:p>
    <w:p w14:paraId="15095285">
      <w:pPr>
        <w:spacing w:line="440" w:lineRule="exact"/>
        <w:ind w:firstLine="525" w:firstLineChars="250"/>
        <w:rPr>
          <w:rFonts w:ascii="宋体" w:hAnsi="宋体" w:cs="宋体"/>
          <w:color w:val="auto"/>
          <w:szCs w:val="21"/>
          <w:highlight w:val="none"/>
        </w:rPr>
      </w:pPr>
      <w:r>
        <w:rPr>
          <w:rFonts w:hint="eastAsia" w:ascii="宋体" w:hAnsi="宋体" w:cs="宋体"/>
          <w:color w:val="auto"/>
          <w:szCs w:val="21"/>
          <w:highlight w:val="none"/>
        </w:rPr>
        <w:t>纸质版一式</w:t>
      </w:r>
      <w:r>
        <w:rPr>
          <w:rFonts w:hint="eastAsia" w:ascii="宋体" w:hAnsi="宋体" w:cs="宋体"/>
          <w:color w:val="auto"/>
          <w:szCs w:val="21"/>
          <w:highlight w:val="none"/>
          <w:lang w:val="en-US" w:eastAsia="zh-CN"/>
        </w:rPr>
        <w:t>柒</w:t>
      </w:r>
      <w:r>
        <w:rPr>
          <w:rFonts w:hint="eastAsia" w:ascii="宋体" w:hAnsi="宋体" w:cs="宋体"/>
          <w:color w:val="auto"/>
          <w:szCs w:val="21"/>
          <w:highlight w:val="none"/>
        </w:rPr>
        <w:t>份(一份正本，</w:t>
      </w:r>
      <w:r>
        <w:rPr>
          <w:rFonts w:hint="eastAsia" w:ascii="宋体" w:hAnsi="宋体" w:cs="宋体"/>
          <w:color w:val="auto"/>
          <w:szCs w:val="21"/>
          <w:highlight w:val="none"/>
          <w:lang w:val="en-US" w:eastAsia="zh-CN"/>
        </w:rPr>
        <w:t>陆</w:t>
      </w:r>
      <w:r>
        <w:rPr>
          <w:rFonts w:hint="eastAsia" w:ascii="宋体" w:hAnsi="宋体" w:cs="宋体"/>
          <w:color w:val="auto"/>
          <w:szCs w:val="21"/>
          <w:highlight w:val="none"/>
        </w:rPr>
        <w:t>份副本) ，每份响应文件须清楚标明“正本”或“副本”；电子版投标文件壹份(一般应为U盘形式、随纸质正本文件一并提交)。当电子版文件和纸质正本文件不一致时，以纸质正本文件为准。电子版文件用于辅助评标和平台存档，供应商需承担前述不一致造成的不利后果。</w:t>
      </w:r>
      <w:bookmarkStart w:id="75" w:name="_GoBack"/>
      <w:bookmarkEnd w:id="75"/>
    </w:p>
    <w:p w14:paraId="6E15566E">
      <w:pPr>
        <w:spacing w:line="440" w:lineRule="exact"/>
        <w:ind w:firstLine="525" w:firstLineChars="250"/>
        <w:rPr>
          <w:rFonts w:ascii="宋体" w:hAnsi="宋体" w:cs="宋体"/>
          <w:color w:val="auto"/>
          <w:szCs w:val="21"/>
          <w:highlight w:val="none"/>
        </w:rPr>
      </w:pPr>
      <w:r>
        <w:rPr>
          <w:rFonts w:hint="eastAsia" w:ascii="宋体" w:hAnsi="宋体" w:cs="宋体"/>
          <w:color w:val="auto"/>
          <w:szCs w:val="21"/>
          <w:highlight w:val="none"/>
        </w:rPr>
        <w:t>7.2严格执行政府采购关于支持节能产品、环境标志产品的相关政策规定。如本次采购的产品属于财政部、国家发展改革委、生态环境部、市场监管总局等部门发布的节能产品、环境标志产品品目清单政府强制采购范围的，供应商必须在投标文件中提供所投产品的相关证书(由国家确定的认证机构出具的、处于有效期之内的节能产品、环境标志产品认证证书)。节能产品、环境标志产品品目清单以递交响应文件截止时已正式公布的最近一期信息为准，如属政府强制采购产品未提供认证证书的或认证证书提供不全的将视为未实质性响应采购要求。其他条件相同情况下，应当优先采购节能产品、环境标志产品。</w:t>
      </w:r>
    </w:p>
    <w:p w14:paraId="7453949E">
      <w:pPr>
        <w:spacing w:line="440" w:lineRule="exact"/>
        <w:ind w:firstLine="525" w:firstLineChars="250"/>
        <w:rPr>
          <w:rFonts w:eastAsiaTheme="minorEastAsia"/>
          <w:color w:val="auto"/>
          <w:highlight w:val="none"/>
        </w:rPr>
      </w:pPr>
      <w:r>
        <w:rPr>
          <w:rFonts w:hint="eastAsia" w:ascii="宋体" w:hAnsi="宋体" w:cs="宋体"/>
          <w:color w:val="auto"/>
          <w:szCs w:val="21"/>
          <w:highlight w:val="none"/>
        </w:rPr>
        <w:t>7.3供应商对于投标产品的包装应按照“财办库〔2020〕123号《关于印发&lt;商品包装政府采购需求标准（试行）&gt;、&lt;快递包装政府采购需求标准（试行）&gt;的通知》”执行。</w:t>
      </w:r>
    </w:p>
    <w:p w14:paraId="63EFAFA5">
      <w:pPr>
        <w:tabs>
          <w:tab w:val="left" w:pos="266"/>
        </w:tabs>
        <w:spacing w:line="360" w:lineRule="auto"/>
        <w:rPr>
          <w:rFonts w:ascii="宋体" w:hAnsi="宋体" w:cs="宋体"/>
          <w:b/>
          <w:bCs/>
          <w:color w:val="auto"/>
          <w:highlight w:val="none"/>
        </w:rPr>
      </w:pPr>
      <w:r>
        <w:rPr>
          <w:rFonts w:hint="eastAsia" w:ascii="宋体" w:hAnsi="宋体" w:cs="宋体"/>
          <w:b/>
          <w:bCs/>
          <w:color w:val="auto"/>
          <w:highlight w:val="none"/>
        </w:rPr>
        <w:t>八、本次招标联系方式</w:t>
      </w:r>
      <w:bookmarkEnd w:id="34"/>
      <w:bookmarkEnd w:id="35"/>
      <w:bookmarkEnd w:id="36"/>
      <w:bookmarkEnd w:id="37"/>
      <w:bookmarkEnd w:id="38"/>
    </w:p>
    <w:p w14:paraId="48C812E3">
      <w:pPr>
        <w:widowControl/>
        <w:spacing w:line="360" w:lineRule="auto"/>
        <w:ind w:firstLine="420" w:firstLineChars="200"/>
        <w:jc w:val="left"/>
        <w:rPr>
          <w:rFonts w:ascii="宋体" w:hAnsi="宋体" w:cs="宋体"/>
          <w:color w:val="auto"/>
          <w:szCs w:val="21"/>
          <w:highlight w:val="none"/>
        </w:rPr>
      </w:pPr>
      <w:r>
        <w:rPr>
          <w:rFonts w:hint="eastAsia" w:ascii="宋体" w:hAnsi="宋体" w:cs="宋体"/>
          <w:color w:val="auto"/>
          <w:highlight w:val="none"/>
        </w:rPr>
        <w:t>1.采购人信息</w:t>
      </w:r>
    </w:p>
    <w:p w14:paraId="500A9BF5">
      <w:pPr>
        <w:spacing w:line="360" w:lineRule="auto"/>
        <w:ind w:firstLine="420" w:firstLineChars="200"/>
        <w:jc w:val="left"/>
        <w:rPr>
          <w:rFonts w:ascii="宋体" w:hAnsi="宋体" w:cs="宋体"/>
          <w:color w:val="auto"/>
          <w:highlight w:val="none"/>
        </w:rPr>
      </w:pPr>
      <w:r>
        <w:rPr>
          <w:rFonts w:hint="eastAsia" w:ascii="宋体" w:hAnsi="宋体" w:cs="宋体"/>
          <w:color w:val="auto"/>
          <w:highlight w:val="none"/>
        </w:rPr>
        <w:t>名 称：</w:t>
      </w:r>
      <w:r>
        <w:rPr>
          <w:rFonts w:hint="eastAsia" w:ascii="宋体" w:hAnsi="宋体" w:cs="宋体"/>
          <w:color w:val="auto"/>
          <w:highlight w:val="none"/>
          <w:u w:val="single"/>
        </w:rPr>
        <w:t>江苏省复员退伍军人精神病医院</w:t>
      </w:r>
    </w:p>
    <w:p w14:paraId="53E02877">
      <w:pPr>
        <w:spacing w:line="360" w:lineRule="auto"/>
        <w:ind w:firstLine="420" w:firstLineChars="200"/>
        <w:jc w:val="left"/>
        <w:rPr>
          <w:rFonts w:ascii="宋体" w:hAnsi="宋体" w:cs="宋体"/>
          <w:color w:val="auto"/>
          <w:highlight w:val="none"/>
          <w:u w:val="single"/>
        </w:rPr>
      </w:pPr>
      <w:r>
        <w:rPr>
          <w:rFonts w:hint="eastAsia" w:ascii="宋体" w:hAnsi="宋体" w:cs="宋体"/>
          <w:color w:val="auto"/>
          <w:highlight w:val="none"/>
        </w:rPr>
        <w:t>地 址：</w:t>
      </w:r>
      <w:r>
        <w:rPr>
          <w:rFonts w:hint="eastAsia" w:ascii="宋体" w:hAnsi="宋体" w:cs="宋体"/>
          <w:color w:val="auto"/>
          <w:szCs w:val="21"/>
          <w:highlight w:val="none"/>
          <w:u w:val="single"/>
        </w:rPr>
        <w:t>扬州市广陵区五台山路2号</w:t>
      </w:r>
    </w:p>
    <w:p w14:paraId="42A5AA0D">
      <w:pPr>
        <w:spacing w:line="360" w:lineRule="auto"/>
        <w:ind w:firstLine="420" w:firstLineChars="200"/>
        <w:jc w:val="left"/>
        <w:rPr>
          <w:rFonts w:ascii="宋体" w:hAnsi="宋体" w:cs="宋体"/>
          <w:color w:val="auto"/>
          <w:highlight w:val="none"/>
          <w:u w:val="single"/>
        </w:rPr>
      </w:pPr>
      <w:r>
        <w:rPr>
          <w:rFonts w:hint="eastAsia" w:ascii="宋体" w:hAnsi="宋体" w:cs="宋体"/>
          <w:color w:val="auto"/>
          <w:highlight w:val="none"/>
        </w:rPr>
        <w:t>联系人：</w:t>
      </w:r>
      <w:r>
        <w:rPr>
          <w:rFonts w:hint="eastAsia" w:ascii="宋体" w:hAnsi="宋体" w:cs="宋体"/>
          <w:color w:val="auto"/>
          <w:szCs w:val="21"/>
          <w:highlight w:val="none"/>
          <w:u w:val="single"/>
        </w:rPr>
        <w:t xml:space="preserve"> 韩工 </w:t>
      </w:r>
    </w:p>
    <w:p w14:paraId="304C80DB">
      <w:pPr>
        <w:spacing w:line="360" w:lineRule="auto"/>
        <w:ind w:firstLine="420" w:firstLineChars="200"/>
        <w:jc w:val="left"/>
        <w:rPr>
          <w:rFonts w:ascii="宋体" w:hAnsi="宋体" w:cs="宋体"/>
          <w:color w:val="auto"/>
          <w:szCs w:val="21"/>
          <w:highlight w:val="none"/>
          <w:u w:val="single"/>
        </w:rPr>
      </w:pPr>
      <w:r>
        <w:rPr>
          <w:rFonts w:hint="eastAsia" w:ascii="宋体" w:hAnsi="宋体" w:cs="宋体"/>
          <w:color w:val="auto"/>
          <w:highlight w:val="none"/>
        </w:rPr>
        <w:t>联系方式：</w:t>
      </w:r>
      <w:bookmarkStart w:id="39" w:name="_Toc28359009"/>
      <w:bookmarkStart w:id="40" w:name="_Toc28359086"/>
      <w:r>
        <w:rPr>
          <w:rFonts w:hint="eastAsia" w:ascii="宋体" w:hAnsi="宋体" w:cs="宋体"/>
          <w:color w:val="auto"/>
          <w:szCs w:val="21"/>
          <w:highlight w:val="none"/>
          <w:u w:val="single"/>
        </w:rPr>
        <w:t xml:space="preserve"> 0514-87202063 </w:t>
      </w:r>
    </w:p>
    <w:p w14:paraId="6ACA4934">
      <w:pPr>
        <w:spacing w:line="360" w:lineRule="auto"/>
        <w:ind w:firstLine="420" w:firstLineChars="200"/>
        <w:jc w:val="left"/>
        <w:rPr>
          <w:rFonts w:ascii="宋体" w:hAnsi="宋体" w:cs="宋体"/>
          <w:color w:val="auto"/>
          <w:highlight w:val="none"/>
        </w:rPr>
      </w:pPr>
      <w:r>
        <w:rPr>
          <w:rFonts w:hint="eastAsia" w:ascii="宋体" w:hAnsi="宋体" w:cs="宋体"/>
          <w:color w:val="auto"/>
          <w:highlight w:val="none"/>
        </w:rPr>
        <w:t>2.代理机构信息</w:t>
      </w:r>
      <w:bookmarkEnd w:id="39"/>
      <w:bookmarkEnd w:id="40"/>
    </w:p>
    <w:p w14:paraId="27F018E4">
      <w:pPr>
        <w:spacing w:line="360" w:lineRule="auto"/>
        <w:ind w:firstLine="420"/>
        <w:jc w:val="left"/>
        <w:rPr>
          <w:rFonts w:ascii="宋体" w:hAnsi="宋体" w:cs="宋体"/>
          <w:color w:val="auto"/>
          <w:highlight w:val="none"/>
        </w:rPr>
      </w:pPr>
      <w:bookmarkStart w:id="41" w:name="_Toc28359010"/>
      <w:bookmarkStart w:id="42" w:name="_Toc28359087"/>
      <w:r>
        <w:rPr>
          <w:rFonts w:hint="eastAsia" w:ascii="宋体" w:hAnsi="宋体" w:cs="宋体"/>
          <w:color w:val="auto"/>
          <w:highlight w:val="none"/>
        </w:rPr>
        <w:t>名称：</w:t>
      </w:r>
      <w:r>
        <w:rPr>
          <w:rFonts w:hint="eastAsia" w:ascii="宋体" w:hAnsi="宋体" w:cs="宋体"/>
          <w:color w:val="auto"/>
          <w:highlight w:val="none"/>
          <w:u w:val="single"/>
        </w:rPr>
        <w:t>江苏汇诚投资咨询管理有限公司</w:t>
      </w:r>
    </w:p>
    <w:p w14:paraId="2BDACED7">
      <w:pPr>
        <w:spacing w:line="360" w:lineRule="auto"/>
        <w:ind w:firstLine="420"/>
        <w:rPr>
          <w:rFonts w:ascii="宋体" w:hAnsi="宋体" w:cs="宋体"/>
          <w:color w:val="auto"/>
          <w:highlight w:val="none"/>
        </w:rPr>
      </w:pPr>
      <w:r>
        <w:rPr>
          <w:rFonts w:hint="eastAsia" w:ascii="宋体" w:hAnsi="宋体" w:cs="宋体"/>
          <w:color w:val="auto"/>
          <w:highlight w:val="none"/>
        </w:rPr>
        <w:t>地　址：</w:t>
      </w:r>
      <w:r>
        <w:rPr>
          <w:rFonts w:hint="eastAsia" w:ascii="宋体" w:hAnsi="宋体" w:cs="宋体"/>
          <w:color w:val="auto"/>
          <w:highlight w:val="none"/>
          <w:u w:val="single"/>
        </w:rPr>
        <w:t>扬州市</w:t>
      </w:r>
      <w:r>
        <w:rPr>
          <w:rFonts w:ascii="宋体" w:hAnsi="宋体" w:cs="宋体"/>
          <w:color w:val="auto"/>
          <w:highlight w:val="none"/>
          <w:u w:val="single"/>
        </w:rPr>
        <w:t>邗江北路</w:t>
      </w:r>
      <w:r>
        <w:rPr>
          <w:rFonts w:hint="eastAsia" w:ascii="宋体" w:hAnsi="宋体" w:cs="宋体"/>
          <w:color w:val="auto"/>
          <w:highlight w:val="none"/>
          <w:u w:val="single"/>
        </w:rPr>
        <w:t>68号3楼西入口</w:t>
      </w:r>
    </w:p>
    <w:p w14:paraId="350525CD">
      <w:pPr>
        <w:spacing w:line="360" w:lineRule="auto"/>
        <w:ind w:firstLine="420"/>
        <w:rPr>
          <w:rFonts w:ascii="宋体" w:hAnsi="宋体" w:cs="宋体"/>
          <w:color w:val="auto"/>
          <w:highlight w:val="none"/>
        </w:rPr>
      </w:pPr>
      <w:r>
        <w:rPr>
          <w:rFonts w:hint="eastAsia" w:ascii="宋体" w:hAnsi="宋体" w:cs="宋体"/>
          <w:color w:val="auto"/>
          <w:highlight w:val="none"/>
        </w:rPr>
        <w:t>联系人：</w:t>
      </w:r>
      <w:r>
        <w:rPr>
          <w:rFonts w:hint="eastAsia" w:ascii="宋体" w:hAnsi="宋体" w:cs="宋体"/>
          <w:color w:val="auto"/>
          <w:highlight w:val="none"/>
          <w:u w:val="single"/>
        </w:rPr>
        <w:t>唐磊</w:t>
      </w:r>
    </w:p>
    <w:p w14:paraId="4C7F28CB">
      <w:pPr>
        <w:spacing w:line="360" w:lineRule="auto"/>
        <w:ind w:firstLine="420"/>
        <w:rPr>
          <w:rFonts w:ascii="宋体" w:hAnsi="宋体" w:cs="宋体"/>
          <w:color w:val="auto"/>
          <w:highlight w:val="none"/>
          <w:u w:val="single"/>
        </w:rPr>
      </w:pPr>
      <w:r>
        <w:rPr>
          <w:rFonts w:hint="eastAsia" w:ascii="宋体" w:hAnsi="宋体" w:cs="宋体"/>
          <w:color w:val="auto"/>
          <w:highlight w:val="none"/>
        </w:rPr>
        <w:t>联系方式：</w:t>
      </w:r>
      <w:r>
        <w:rPr>
          <w:rFonts w:hint="eastAsia" w:ascii="宋体" w:hAnsi="宋体" w:cs="宋体"/>
          <w:color w:val="auto"/>
          <w:highlight w:val="none"/>
          <w:u w:val="single"/>
        </w:rPr>
        <w:t>0514-89787281/80827739</w:t>
      </w:r>
    </w:p>
    <w:bookmarkEnd w:id="41"/>
    <w:bookmarkEnd w:id="42"/>
    <w:p w14:paraId="2087C964">
      <w:pPr>
        <w:spacing w:line="360" w:lineRule="auto"/>
        <w:rPr>
          <w:rFonts w:ascii="宋体" w:hAnsi="宋体" w:cs="宋体"/>
          <w:b/>
          <w:bCs/>
          <w:color w:val="auto"/>
          <w:highlight w:val="none"/>
        </w:rPr>
      </w:pPr>
      <w:r>
        <w:rPr>
          <w:rFonts w:hint="eastAsia" w:ascii="宋体" w:hAnsi="宋体" w:cs="宋体"/>
          <w:b/>
          <w:bCs/>
          <w:color w:val="auto"/>
          <w:highlight w:val="none"/>
        </w:rPr>
        <w:t>九、其他</w:t>
      </w:r>
    </w:p>
    <w:p w14:paraId="44AE3514">
      <w:pPr>
        <w:widowControl/>
        <w:spacing w:line="360" w:lineRule="auto"/>
        <w:ind w:firstLine="422" w:firstLineChars="200"/>
        <w:jc w:val="left"/>
        <w:rPr>
          <w:rFonts w:ascii="宋体" w:hAnsi="宋体" w:cs="宋体"/>
          <w:b/>
          <w:color w:val="auto"/>
          <w:highlight w:val="none"/>
        </w:rPr>
      </w:pPr>
      <w:r>
        <w:rPr>
          <w:rFonts w:hint="eastAsia" w:ascii="宋体" w:hAnsi="宋体" w:cs="宋体"/>
          <w:b/>
          <w:color w:val="auto"/>
          <w:highlight w:val="none"/>
        </w:rPr>
        <w:t>1.潜在供应商对采购文件项目需求部分的询问、质疑请向采购人提出，由采购人负责答复。</w:t>
      </w:r>
    </w:p>
    <w:p w14:paraId="2E189648">
      <w:pPr>
        <w:spacing w:line="360" w:lineRule="auto"/>
        <w:ind w:firstLine="420" w:firstLineChars="200"/>
        <w:rPr>
          <w:rFonts w:ascii="宋体" w:hAnsi="宋体" w:cs="宋体"/>
          <w:bCs/>
          <w:color w:val="auto"/>
          <w:highlight w:val="none"/>
        </w:rPr>
      </w:pPr>
      <w:r>
        <w:rPr>
          <w:rFonts w:hint="eastAsia" w:ascii="宋体" w:hAnsi="宋体" w:cs="宋体"/>
          <w:bCs/>
          <w:color w:val="auto"/>
          <w:szCs w:val="21"/>
          <w:highlight w:val="none"/>
        </w:rPr>
        <w:t>2.</w:t>
      </w:r>
      <w:r>
        <w:rPr>
          <w:rFonts w:hint="eastAsia" w:ascii="宋体" w:hAnsi="宋体"/>
          <w:color w:val="auto"/>
          <w:highlight w:val="none"/>
        </w:rPr>
        <w:t>本次招标不收取投标保证金。</w:t>
      </w:r>
    </w:p>
    <w:p w14:paraId="6F907A96">
      <w:pPr>
        <w:spacing w:line="360" w:lineRule="auto"/>
        <w:ind w:firstLine="420" w:firstLineChars="200"/>
        <w:rPr>
          <w:rFonts w:ascii="宋体" w:hAnsi="宋体" w:cs="宋体"/>
          <w:bCs/>
          <w:color w:val="auto"/>
          <w:highlight w:val="none"/>
        </w:rPr>
      </w:pPr>
      <w:r>
        <w:rPr>
          <w:rFonts w:hint="eastAsia" w:ascii="宋体" w:hAnsi="宋体"/>
          <w:color w:val="auto"/>
          <w:szCs w:val="21"/>
          <w:highlight w:val="none"/>
        </w:rPr>
        <w:t>3.</w:t>
      </w:r>
      <w:r>
        <w:rPr>
          <w:rFonts w:hint="eastAsia" w:ascii="宋体" w:hAnsi="宋体" w:cs="宋体"/>
          <w:bCs/>
          <w:color w:val="auto"/>
          <w:highlight w:val="none"/>
        </w:rPr>
        <w:t>有关本次招标的事项若存在变动或修改，敬请及时关注“中国政府采购网”、“江苏省政府采购网”、“江苏省复员退伍军人精神病医院官网”发布的信息。</w:t>
      </w:r>
    </w:p>
    <w:p w14:paraId="6A17090E">
      <w:pPr>
        <w:spacing w:line="360" w:lineRule="auto"/>
        <w:ind w:firstLine="422" w:firstLineChars="200"/>
        <w:rPr>
          <w:rFonts w:ascii="宋体" w:hAnsi="宋体" w:cs="宋体"/>
          <w:b/>
          <w:i/>
          <w:iCs/>
          <w:color w:val="auto"/>
          <w:highlight w:val="none"/>
          <w:u w:val="single"/>
        </w:rPr>
      </w:pPr>
      <w:r>
        <w:rPr>
          <w:rFonts w:hint="eastAsia" w:ascii="宋体" w:hAnsi="宋体" w:cs="宋体"/>
          <w:b/>
          <w:i/>
          <w:iCs/>
          <w:color w:val="auto"/>
          <w:highlight w:val="none"/>
          <w:u w:val="single"/>
        </w:rPr>
        <w:t>4.本项目招标文件中所有斜体下划线部分为实质性条款，如不满足，则为无效投标。</w:t>
      </w:r>
    </w:p>
    <w:p w14:paraId="7AC34449">
      <w:pPr>
        <w:spacing w:line="360" w:lineRule="auto"/>
        <w:rPr>
          <w:rFonts w:ascii="宋体" w:hAnsi="宋体"/>
          <w:color w:val="auto"/>
          <w:highlight w:val="none"/>
        </w:rPr>
      </w:pPr>
    </w:p>
    <w:p w14:paraId="09629049">
      <w:pPr>
        <w:rPr>
          <w:color w:val="auto"/>
          <w:highlight w:val="none"/>
        </w:rPr>
      </w:pPr>
      <w:bookmarkStart w:id="43" w:name="_Toc55204178"/>
    </w:p>
    <w:p w14:paraId="520BE698">
      <w:pPr>
        <w:pStyle w:val="27"/>
        <w:rPr>
          <w:color w:val="auto"/>
          <w:highlight w:val="none"/>
        </w:rPr>
      </w:pPr>
    </w:p>
    <w:p w14:paraId="419ECEE6">
      <w:pPr>
        <w:pStyle w:val="31"/>
        <w:rPr>
          <w:color w:val="auto"/>
          <w:highlight w:val="none"/>
          <w:lang w:eastAsia="zh-CN"/>
        </w:rPr>
      </w:pPr>
    </w:p>
    <w:p w14:paraId="6558A6D5">
      <w:pPr>
        <w:pStyle w:val="32"/>
        <w:rPr>
          <w:color w:val="auto"/>
          <w:highlight w:val="none"/>
        </w:rPr>
      </w:pPr>
    </w:p>
    <w:p w14:paraId="1CC631CA">
      <w:pPr>
        <w:pStyle w:val="34"/>
        <w:rPr>
          <w:color w:val="auto"/>
          <w:highlight w:val="none"/>
        </w:rPr>
      </w:pPr>
    </w:p>
    <w:p w14:paraId="5F1D634F">
      <w:pPr>
        <w:rPr>
          <w:color w:val="auto"/>
          <w:highlight w:val="none"/>
        </w:rPr>
      </w:pPr>
    </w:p>
    <w:p w14:paraId="6320F0AA">
      <w:pPr>
        <w:pStyle w:val="27"/>
        <w:rPr>
          <w:color w:val="auto"/>
          <w:highlight w:val="none"/>
        </w:rPr>
      </w:pPr>
    </w:p>
    <w:p w14:paraId="2DAA2540">
      <w:pPr>
        <w:pStyle w:val="31"/>
        <w:rPr>
          <w:color w:val="auto"/>
          <w:highlight w:val="none"/>
          <w:lang w:eastAsia="zh-CN"/>
        </w:rPr>
      </w:pPr>
    </w:p>
    <w:p w14:paraId="73FFB35E">
      <w:pPr>
        <w:pStyle w:val="32"/>
        <w:rPr>
          <w:color w:val="auto"/>
          <w:highlight w:val="none"/>
        </w:rPr>
      </w:pPr>
    </w:p>
    <w:p w14:paraId="4562207D">
      <w:pPr>
        <w:pStyle w:val="34"/>
        <w:rPr>
          <w:color w:val="auto"/>
          <w:highlight w:val="none"/>
        </w:rPr>
      </w:pPr>
    </w:p>
    <w:p w14:paraId="76A858A4">
      <w:pPr>
        <w:rPr>
          <w:color w:val="auto"/>
          <w:highlight w:val="none"/>
        </w:rPr>
      </w:pPr>
    </w:p>
    <w:p w14:paraId="5FCE31E7">
      <w:pPr>
        <w:pStyle w:val="27"/>
        <w:rPr>
          <w:color w:val="auto"/>
          <w:highlight w:val="none"/>
        </w:rPr>
      </w:pPr>
    </w:p>
    <w:p w14:paraId="029792C0">
      <w:pPr>
        <w:pStyle w:val="31"/>
        <w:rPr>
          <w:color w:val="auto"/>
          <w:highlight w:val="none"/>
          <w:lang w:eastAsia="zh-CN"/>
        </w:rPr>
      </w:pPr>
    </w:p>
    <w:p w14:paraId="6B36BD59">
      <w:pPr>
        <w:pStyle w:val="32"/>
        <w:rPr>
          <w:color w:val="auto"/>
          <w:highlight w:val="none"/>
        </w:rPr>
      </w:pPr>
    </w:p>
    <w:p w14:paraId="347F9E49">
      <w:pPr>
        <w:pStyle w:val="34"/>
        <w:rPr>
          <w:color w:val="auto"/>
          <w:highlight w:val="none"/>
        </w:rPr>
      </w:pPr>
    </w:p>
    <w:p w14:paraId="28253332">
      <w:pPr>
        <w:rPr>
          <w:color w:val="auto"/>
          <w:highlight w:val="none"/>
        </w:rPr>
      </w:pPr>
    </w:p>
    <w:p w14:paraId="6D6815DE">
      <w:pPr>
        <w:pStyle w:val="27"/>
        <w:rPr>
          <w:color w:val="auto"/>
          <w:highlight w:val="none"/>
        </w:rPr>
      </w:pPr>
    </w:p>
    <w:p w14:paraId="6F2B2A96">
      <w:pPr>
        <w:pStyle w:val="31"/>
        <w:rPr>
          <w:color w:val="auto"/>
          <w:highlight w:val="none"/>
          <w:lang w:eastAsia="zh-CN"/>
        </w:rPr>
      </w:pPr>
    </w:p>
    <w:p w14:paraId="0C2402FE">
      <w:pPr>
        <w:pStyle w:val="32"/>
        <w:rPr>
          <w:color w:val="auto"/>
          <w:highlight w:val="none"/>
        </w:rPr>
      </w:pPr>
    </w:p>
    <w:p w14:paraId="53C34C09">
      <w:pPr>
        <w:pStyle w:val="34"/>
        <w:rPr>
          <w:color w:val="auto"/>
          <w:highlight w:val="none"/>
        </w:rPr>
      </w:pPr>
    </w:p>
    <w:p w14:paraId="2192934D">
      <w:pPr>
        <w:rPr>
          <w:color w:val="auto"/>
          <w:highlight w:val="none"/>
        </w:rPr>
      </w:pPr>
    </w:p>
    <w:p w14:paraId="5F27D2AD">
      <w:pPr>
        <w:pStyle w:val="27"/>
        <w:rPr>
          <w:color w:val="auto"/>
          <w:highlight w:val="none"/>
        </w:rPr>
      </w:pPr>
    </w:p>
    <w:p w14:paraId="62ABEF92">
      <w:pPr>
        <w:pStyle w:val="31"/>
        <w:rPr>
          <w:color w:val="auto"/>
          <w:highlight w:val="none"/>
          <w:lang w:eastAsia="zh-CN"/>
        </w:rPr>
      </w:pPr>
    </w:p>
    <w:p w14:paraId="03C5C5A4">
      <w:pPr>
        <w:pStyle w:val="32"/>
        <w:rPr>
          <w:color w:val="auto"/>
          <w:highlight w:val="none"/>
        </w:rPr>
      </w:pPr>
    </w:p>
    <w:p w14:paraId="751B71AE">
      <w:pPr>
        <w:pStyle w:val="2"/>
        <w:spacing w:line="360" w:lineRule="auto"/>
        <w:jc w:val="center"/>
        <w:rPr>
          <w:rFonts w:ascii="宋体" w:hAnsi="宋体"/>
          <w:color w:val="auto"/>
          <w:szCs w:val="36"/>
          <w:highlight w:val="none"/>
        </w:rPr>
      </w:pPr>
      <w:r>
        <w:rPr>
          <w:rFonts w:hint="eastAsia" w:ascii="宋体" w:hAnsi="宋体"/>
          <w:color w:val="auto"/>
          <w:szCs w:val="36"/>
          <w:highlight w:val="none"/>
        </w:rPr>
        <w:t>第二章 投标人须知</w:t>
      </w:r>
      <w:bookmarkEnd w:id="43"/>
    </w:p>
    <w:p w14:paraId="6EC1FCF0">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1、招标方式</w:t>
      </w:r>
    </w:p>
    <w:p w14:paraId="2F1E1748">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1.1 本次招标采取公开招标方式，本招标文件仅适用于</w:t>
      </w:r>
      <w:r>
        <w:rPr>
          <w:rFonts w:hint="eastAsia" w:ascii="宋体" w:hAnsi="宋体"/>
          <w:bCs/>
          <w:color w:val="auto"/>
          <w:szCs w:val="21"/>
          <w:highlight w:val="none"/>
          <w:lang w:eastAsia="zh-CN"/>
        </w:rPr>
        <w:t>JSZC-320000-HCZX-G2024-0089</w:t>
      </w:r>
      <w:r>
        <w:rPr>
          <w:rFonts w:hint="eastAsia" w:ascii="宋体" w:hAnsi="宋体"/>
          <w:bCs/>
          <w:color w:val="auto"/>
          <w:szCs w:val="21"/>
          <w:highlight w:val="none"/>
        </w:rPr>
        <w:t>号项目。</w:t>
      </w:r>
    </w:p>
    <w:p w14:paraId="1AE53CA0">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2、投标人</w:t>
      </w:r>
    </w:p>
    <w:p w14:paraId="28AE29A3">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2.1 本招标文件中“供应商”，即“投标人”，是指参加投标竞争，并符合招标文件规定资格条件的法人、其他组织或者自然人。</w:t>
      </w:r>
    </w:p>
    <w:p w14:paraId="60D848F2">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2.2合格的投标人</w:t>
      </w:r>
    </w:p>
    <w:p w14:paraId="1CA5FBCD">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2.2.1 满足招标公告中供应商的资格条件要求的规定。</w:t>
      </w:r>
    </w:p>
    <w:p w14:paraId="0036C697">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2.2.2 满足本文件实质性条款的规定。</w:t>
      </w:r>
    </w:p>
    <w:p w14:paraId="4F206196">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3、适用法律</w:t>
      </w:r>
    </w:p>
    <w:p w14:paraId="07D77956">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3.1 本次招标及由此产生的合同受中华人民共和国有关的法律法规制约和保护。</w:t>
      </w:r>
    </w:p>
    <w:p w14:paraId="7D4638DC">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4、投标费用</w:t>
      </w:r>
    </w:p>
    <w:p w14:paraId="1AC8B0BC">
      <w:pPr>
        <w:spacing w:line="360" w:lineRule="auto"/>
        <w:ind w:firstLine="420" w:firstLineChars="200"/>
        <w:rPr>
          <w:rFonts w:ascii="宋体" w:hAnsi="宋体"/>
          <w:color w:val="auto"/>
          <w:highlight w:val="none"/>
        </w:rPr>
      </w:pPr>
      <w:r>
        <w:rPr>
          <w:rFonts w:ascii="宋体" w:hAnsi="宋体"/>
          <w:color w:val="auto"/>
          <w:highlight w:val="none"/>
        </w:rPr>
        <w:t>4.1 投标人应自行承担所有与参加投标有关的费用，无论投标过程中的做法和结果如何，代理机构在任何情况下均无义务和责任承担这些费用。</w:t>
      </w:r>
    </w:p>
    <w:p w14:paraId="2C578103">
      <w:pPr>
        <w:spacing w:line="440" w:lineRule="exact"/>
        <w:ind w:firstLine="420" w:firstLineChars="200"/>
        <w:rPr>
          <w:rFonts w:ascii="宋体" w:hAnsi="宋体" w:cs="宋体"/>
          <w:color w:val="auto"/>
          <w:szCs w:val="21"/>
          <w:highlight w:val="none"/>
        </w:rPr>
      </w:pPr>
      <w:r>
        <w:rPr>
          <w:rFonts w:ascii="宋体" w:hAnsi="宋体"/>
          <w:color w:val="auto"/>
          <w:highlight w:val="none"/>
        </w:rPr>
        <w:t>4.</w:t>
      </w:r>
      <w:r>
        <w:rPr>
          <w:rFonts w:hint="eastAsia" w:ascii="宋体" w:hAnsi="宋体"/>
          <w:color w:val="auto"/>
          <w:highlight w:val="none"/>
        </w:rPr>
        <w:t>2本次采购由中标供应商在领取中标通知书前缴纳代理服务费，代理服务费按国家计委【2002】1980号文及《国家发展改革委关于降低部分建设项目收费标准规范收费行为等有关问题的通知》（发改价格[2011]534号）相关规定标准的28％（大写：佰分之贰拾捌）计取。</w:t>
      </w:r>
    </w:p>
    <w:p w14:paraId="483068E9">
      <w:pPr>
        <w:spacing w:line="360" w:lineRule="auto"/>
        <w:ind w:firstLine="420" w:firstLineChars="200"/>
        <w:rPr>
          <w:rFonts w:ascii="宋体" w:hAnsi="宋体"/>
          <w:color w:val="auto"/>
          <w:highlight w:val="none"/>
        </w:rPr>
      </w:pPr>
      <w:r>
        <w:rPr>
          <w:rFonts w:ascii="宋体" w:hAnsi="宋体"/>
          <w:color w:val="auto"/>
          <w:highlight w:val="none"/>
        </w:rPr>
        <w:t>（1）代理服务费以人民币支付；</w:t>
      </w:r>
    </w:p>
    <w:p w14:paraId="0C895170">
      <w:pPr>
        <w:spacing w:line="360" w:lineRule="auto"/>
        <w:ind w:firstLine="420" w:firstLineChars="200"/>
        <w:rPr>
          <w:rFonts w:ascii="宋体" w:hAnsi="宋体"/>
          <w:color w:val="auto"/>
          <w:highlight w:val="none"/>
        </w:rPr>
      </w:pPr>
      <w:r>
        <w:rPr>
          <w:rFonts w:ascii="宋体" w:hAnsi="宋体"/>
          <w:color w:val="auto"/>
          <w:highlight w:val="none"/>
        </w:rPr>
        <w:t>（2）代理服务费一次性以电汇、转账等非现金形式支付；</w:t>
      </w:r>
    </w:p>
    <w:p w14:paraId="097CA4C0">
      <w:pPr>
        <w:spacing w:line="360" w:lineRule="auto"/>
        <w:ind w:firstLine="420" w:firstLineChars="200"/>
        <w:rPr>
          <w:rFonts w:ascii="宋体" w:hAnsi="宋体"/>
          <w:color w:val="auto"/>
          <w:highlight w:val="none"/>
        </w:rPr>
      </w:pPr>
      <w:r>
        <w:rPr>
          <w:rFonts w:ascii="宋体" w:hAnsi="宋体"/>
          <w:color w:val="auto"/>
          <w:highlight w:val="none"/>
        </w:rPr>
        <w:t>（3）招标代理服务费不在投标报价中单列，包含在投标总价中，由中标单位支付给代理机构。</w:t>
      </w:r>
    </w:p>
    <w:p w14:paraId="505DF541">
      <w:pPr>
        <w:spacing w:line="360" w:lineRule="auto"/>
        <w:ind w:firstLine="420" w:firstLineChars="200"/>
        <w:rPr>
          <w:rFonts w:ascii="宋体" w:hAnsi="宋体" w:cstheme="minorEastAsia"/>
          <w:color w:val="auto"/>
          <w:szCs w:val="21"/>
          <w:highlight w:val="none"/>
        </w:rPr>
      </w:pPr>
      <w:r>
        <w:rPr>
          <w:rFonts w:hint="eastAsia" w:ascii="宋体" w:hAnsi="宋体" w:cstheme="minorEastAsia"/>
          <w:color w:val="auto"/>
          <w:szCs w:val="21"/>
          <w:highlight w:val="none"/>
        </w:rPr>
        <w:t xml:space="preserve">招标代理服务费开户银行： </w:t>
      </w:r>
    </w:p>
    <w:p w14:paraId="6E59E6B1">
      <w:pPr>
        <w:spacing w:line="360" w:lineRule="auto"/>
        <w:ind w:right="366" w:firstLine="420" w:firstLineChars="200"/>
        <w:jc w:val="left"/>
        <w:rPr>
          <w:rFonts w:ascii="宋体" w:hAnsi="宋体" w:cstheme="minorEastAsia"/>
          <w:color w:val="auto"/>
          <w:szCs w:val="21"/>
          <w:highlight w:val="none"/>
        </w:rPr>
      </w:pPr>
      <w:r>
        <w:rPr>
          <w:rFonts w:hint="eastAsia" w:ascii="宋体" w:hAnsi="宋体" w:cstheme="minorEastAsia"/>
          <w:color w:val="auto"/>
          <w:szCs w:val="21"/>
          <w:highlight w:val="none"/>
        </w:rPr>
        <w:t>开户名称：江苏汇诚投资咨询管理有限公司邗江分公司</w:t>
      </w:r>
    </w:p>
    <w:p w14:paraId="03A8ED9B">
      <w:pPr>
        <w:spacing w:line="360" w:lineRule="auto"/>
        <w:ind w:right="366" w:firstLine="420" w:firstLineChars="200"/>
        <w:jc w:val="left"/>
        <w:rPr>
          <w:rFonts w:ascii="宋体" w:hAnsi="宋体" w:cstheme="minorEastAsia"/>
          <w:color w:val="auto"/>
          <w:szCs w:val="21"/>
          <w:highlight w:val="none"/>
        </w:rPr>
      </w:pPr>
      <w:r>
        <w:rPr>
          <w:rFonts w:hint="eastAsia" w:ascii="宋体" w:hAnsi="宋体" w:cstheme="minorEastAsia"/>
          <w:color w:val="auto"/>
          <w:szCs w:val="21"/>
          <w:highlight w:val="none"/>
        </w:rPr>
        <w:t>开 户 行:中国工商银行扬州雍华府支行</w:t>
      </w:r>
    </w:p>
    <w:p w14:paraId="31A14FD5">
      <w:pPr>
        <w:spacing w:line="360" w:lineRule="auto"/>
        <w:ind w:right="366" w:firstLine="420" w:firstLineChars="200"/>
        <w:jc w:val="left"/>
        <w:rPr>
          <w:rFonts w:ascii="宋体" w:hAnsi="宋体" w:cstheme="minorEastAsia"/>
          <w:color w:val="auto"/>
          <w:szCs w:val="21"/>
          <w:highlight w:val="none"/>
        </w:rPr>
      </w:pPr>
      <w:r>
        <w:rPr>
          <w:rFonts w:hint="eastAsia" w:ascii="宋体" w:hAnsi="宋体" w:cstheme="minorEastAsia"/>
          <w:color w:val="auto"/>
          <w:szCs w:val="21"/>
          <w:highlight w:val="none"/>
        </w:rPr>
        <w:t>帐号:1108020809100091782</w:t>
      </w:r>
    </w:p>
    <w:p w14:paraId="6396F0E8">
      <w:pPr>
        <w:spacing w:line="360" w:lineRule="auto"/>
        <w:ind w:firstLine="420" w:firstLineChars="200"/>
        <w:rPr>
          <w:rFonts w:ascii="宋体" w:hAnsi="宋体"/>
          <w:color w:val="auto"/>
          <w:highlight w:val="none"/>
        </w:rPr>
      </w:pPr>
      <w:r>
        <w:rPr>
          <w:rFonts w:ascii="宋体" w:hAnsi="宋体"/>
          <w:color w:val="auto"/>
          <w:highlight w:val="none"/>
        </w:rPr>
        <w:t>4.</w:t>
      </w:r>
      <w:r>
        <w:rPr>
          <w:rFonts w:hint="eastAsia" w:ascii="宋体" w:hAnsi="宋体"/>
          <w:color w:val="auto"/>
          <w:highlight w:val="none"/>
        </w:rPr>
        <w:t>3</w:t>
      </w:r>
      <w:r>
        <w:rPr>
          <w:rFonts w:ascii="宋体" w:hAnsi="宋体"/>
          <w:color w:val="auto"/>
          <w:highlight w:val="none"/>
        </w:rPr>
        <w:t>专家评审费按扬财购【2020】40 号文《关于</w:t>
      </w:r>
      <w:r>
        <w:rPr>
          <w:rFonts w:hint="eastAsia" w:ascii="宋体" w:hAnsi="宋体"/>
          <w:color w:val="auto"/>
          <w:highlight w:val="none"/>
        </w:rPr>
        <w:t>进一步</w:t>
      </w:r>
      <w:r>
        <w:rPr>
          <w:rFonts w:ascii="宋体" w:hAnsi="宋体"/>
          <w:color w:val="auto"/>
          <w:highlight w:val="none"/>
        </w:rPr>
        <w:t>规范扬州市政府采购专家评审费标准的通知》执行。</w:t>
      </w:r>
    </w:p>
    <w:p w14:paraId="3EC247E1">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5、招标文件的约束力</w:t>
      </w:r>
    </w:p>
    <w:p w14:paraId="03B02A68">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5.1 投标人一旦参加本项目采购活动，即被认为接受了本招标文件的规定和约束。</w:t>
      </w:r>
    </w:p>
    <w:p w14:paraId="6D600756">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6、招标文件构成</w:t>
      </w:r>
    </w:p>
    <w:p w14:paraId="40C60D38">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6.1 招标文件有以下部分组成：</w:t>
      </w:r>
    </w:p>
    <w:p w14:paraId="66AA2429">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（1）招标公告</w:t>
      </w:r>
    </w:p>
    <w:p w14:paraId="4F098D54">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（2）投标人须知</w:t>
      </w:r>
      <w:r>
        <w:rPr>
          <w:rFonts w:hint="eastAsia" w:ascii="宋体" w:hAnsi="宋体"/>
          <w:bCs/>
          <w:color w:val="auto"/>
          <w:szCs w:val="21"/>
          <w:highlight w:val="none"/>
        </w:rPr>
        <w:tab/>
      </w:r>
    </w:p>
    <w:p w14:paraId="246B015C">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（3）合同条款及格式</w:t>
      </w:r>
    </w:p>
    <w:p w14:paraId="378409DF">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（4）项目需求</w:t>
      </w:r>
    </w:p>
    <w:p w14:paraId="50A84307">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（5）评标方法与评标标准</w:t>
      </w:r>
    </w:p>
    <w:p w14:paraId="478E13B3">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（6）投标文件格式</w:t>
      </w:r>
    </w:p>
    <w:p w14:paraId="0A88B9B3">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请仔细检查招标文件是否齐全，如有缺漏请立即与代理机构联系解决。</w:t>
      </w:r>
    </w:p>
    <w:p w14:paraId="204ED4E8">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6.2 招标的最小单位是包。招标服务数量及技术要求中未分包的，供应商对要求提供的服务不得部分投标；招标服务数量及技术要求中已经分包的，应当以包为单位投标。</w:t>
      </w:r>
    </w:p>
    <w:p w14:paraId="7F15BBFA">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6.3 招标文件如果要求供应商提交备选投标方案的，供应商可以提交备选方案；否则，备选方案将被拒绝。</w:t>
      </w:r>
    </w:p>
    <w:p w14:paraId="777EA9F7">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6.4 投标人应认真阅读招标文件中所有的事项、格式、条款和规范等要求。按招标文件要求和规定编制投标文件，并保证所提供的全部资料的真实性，以使其投标文件对招标文件作出实质性响应，否则其风险由投标人自行承担。</w:t>
      </w:r>
    </w:p>
    <w:p w14:paraId="4400997C">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7、招标文件的澄清</w:t>
      </w:r>
    </w:p>
    <w:p w14:paraId="19AA11F8">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7.1 任何要求对招标文件进行澄清的投标人，应在投标截止日期的十日前按招标公告中的通讯地址，以书面形式通知代理机构。</w:t>
      </w:r>
    </w:p>
    <w:p w14:paraId="70BCD701">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8、招标文件的修改</w:t>
      </w:r>
    </w:p>
    <w:p w14:paraId="00FA06AB">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8.1 在投标截止时间前，代理机构可以对招标文件进行修改。</w:t>
      </w:r>
    </w:p>
    <w:p w14:paraId="7799344B">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8.2代理机构在招标文件要求提交投标文件截止时间前，有权按照法定要求推迟投标截止时间和开标时间。</w:t>
      </w:r>
    </w:p>
    <w:p w14:paraId="156FD4CB">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8.3招标文件的修改将在</w:t>
      </w:r>
      <w:r>
        <w:rPr>
          <w:rFonts w:hint="eastAsia" w:ascii="宋体" w:hAnsi="宋体" w:cs="宋体"/>
          <w:bCs/>
          <w:color w:val="auto"/>
          <w:highlight w:val="none"/>
        </w:rPr>
        <w:t>“中国政府采购网”、“江苏省政府采购网”、“江苏省复员退伍军人精神病医院官网”</w:t>
      </w:r>
      <w:r>
        <w:rPr>
          <w:rFonts w:hint="eastAsia" w:ascii="宋体" w:hAnsi="宋体"/>
          <w:bCs/>
          <w:color w:val="auto"/>
          <w:szCs w:val="21"/>
          <w:highlight w:val="none"/>
        </w:rPr>
        <w:t>公布，补充文件将作为招标文件的组成部分，并对投标人具有约束力。</w:t>
      </w:r>
    </w:p>
    <w:p w14:paraId="2095EBF0">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9、投标文件的语言、度量衡单位、货币</w:t>
      </w:r>
    </w:p>
    <w:p w14:paraId="448E7390">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9.1投标人提交的投标文件以及投标人与代理机构就有关投标的所有来往通知、函件和文件均应使用简体中文。</w:t>
      </w:r>
    </w:p>
    <w:p w14:paraId="1266A040">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9.2 除技术性能另有规定外，投标文件所使用的度量衡单位，均须采用国家法定计量单位。</w:t>
      </w:r>
    </w:p>
    <w:p w14:paraId="5B1839DA">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9.3投标人应使用人民币报价。</w:t>
      </w:r>
    </w:p>
    <w:p w14:paraId="7C5D34A9">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10、投标文件构成</w:t>
      </w:r>
    </w:p>
    <w:p w14:paraId="51FE1EAA">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10.1投标文件由以下部分组成</w:t>
      </w:r>
    </w:p>
    <w:p w14:paraId="5086E4EF">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（1）资格审查响应对照表</w:t>
      </w:r>
    </w:p>
    <w:p w14:paraId="3F25418B">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（2）符合性审查响应对照表</w:t>
      </w:r>
    </w:p>
    <w:p w14:paraId="06EB23A8">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（3）非实质性响应对照表</w:t>
      </w:r>
    </w:p>
    <w:p w14:paraId="7D15D30C">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 xml:space="preserve">（4）开标一览表 </w:t>
      </w:r>
    </w:p>
    <w:p w14:paraId="02023C7E">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 xml:space="preserve">（5）分项报价表 </w:t>
      </w:r>
    </w:p>
    <w:p w14:paraId="3EE5575E">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 xml:space="preserve">（6）技术参数响应及偏离表 </w:t>
      </w:r>
    </w:p>
    <w:p w14:paraId="2070039C">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 xml:space="preserve">（7）商务条款响应及偏离表 </w:t>
      </w:r>
    </w:p>
    <w:p w14:paraId="71371B31">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（8）其他 （投标人认为有必要提供的声明和文件，如有自拟并自行添加）</w:t>
      </w:r>
    </w:p>
    <w:p w14:paraId="252EBBF2">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10.2投标人应当根据招标文件要求编制投标文件，投标文件应对招标文件提出的要求和条件作出响应，并在相应的投标文件中逐条标明满足与否。</w:t>
      </w:r>
    </w:p>
    <w:p w14:paraId="25F81941">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11、证明投标人资格及符合招标文件规定的文件</w:t>
      </w:r>
    </w:p>
    <w:p w14:paraId="2DE61AE5">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11.1投标人应按要求提交资格证明文件及符合招标文件规定的文件。</w:t>
      </w:r>
    </w:p>
    <w:p w14:paraId="76F4323F">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11.2投标人应提交证明其有资格参加投标和中标后有能力独立履行合同的文件。</w:t>
      </w:r>
    </w:p>
    <w:p w14:paraId="7D36C068">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11.3投标人除必须具有履行合同所需提供的产品或服务的能力外，还必须具备相应的财务、技术方面的能力。</w:t>
      </w:r>
    </w:p>
    <w:p w14:paraId="26AF7B59">
      <w:pPr>
        <w:spacing w:line="360" w:lineRule="auto"/>
        <w:rPr>
          <w:rFonts w:ascii="宋体" w:hAnsi="宋体"/>
          <w:bCs/>
          <w:color w:val="auto"/>
          <w:szCs w:val="21"/>
          <w:highlight w:val="none"/>
        </w:rPr>
      </w:pPr>
      <w:r>
        <w:rPr>
          <w:rFonts w:hint="eastAsia" w:ascii="宋体" w:hAnsi="宋体"/>
          <w:bCs/>
          <w:color w:val="auto"/>
          <w:szCs w:val="21"/>
          <w:highlight w:val="none"/>
        </w:rPr>
        <w:t xml:space="preserve">    11.4投标人应提交根据合同要求提供的证明服务质量合格以及符合招标文件规定的证明文件。</w:t>
      </w:r>
    </w:p>
    <w:p w14:paraId="6DDA7F8E">
      <w:pPr>
        <w:spacing w:line="360" w:lineRule="auto"/>
        <w:rPr>
          <w:rFonts w:ascii="宋体" w:hAnsi="宋体"/>
          <w:bCs/>
          <w:color w:val="auto"/>
          <w:szCs w:val="21"/>
          <w:highlight w:val="none"/>
        </w:rPr>
      </w:pPr>
      <w:r>
        <w:rPr>
          <w:rFonts w:hint="eastAsia" w:ascii="宋体" w:hAnsi="宋体"/>
          <w:bCs/>
          <w:color w:val="auto"/>
          <w:szCs w:val="21"/>
          <w:highlight w:val="none"/>
        </w:rPr>
        <w:t xml:space="preserve">    11.5证明投标人所提供服务与招标文件的要求相一致的文件可以是手册、图纸、文字资料和数据。</w:t>
      </w:r>
    </w:p>
    <w:p w14:paraId="6B797DB0">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12、投标配置与分项报价表</w:t>
      </w:r>
    </w:p>
    <w:p w14:paraId="3AB50EAA">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12.1 投标人应按照招标文件规定格式填报投标配置与分项报价表，在表中标明所提供的设备品牌或服务名称、规格、型号、原产地、主要部件型号及其功能的中文说明和供货期。每项货物和服务等只允许有一个报价，任何有选择的报价将不予接受(如有备选配件，备选配件的报价不属于选择的报价)。</w:t>
      </w:r>
    </w:p>
    <w:p w14:paraId="11C7F4CB">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12.2 标的物</w:t>
      </w:r>
    </w:p>
    <w:p w14:paraId="1D8FF866">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采购人需求的服务供应、安装，调试及有关技术服务等。</w:t>
      </w:r>
    </w:p>
    <w:p w14:paraId="232124D8">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12.3有关费用处理</w:t>
      </w:r>
    </w:p>
    <w:p w14:paraId="709908B2">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招标报价采用总承包方式，投标人的报价应包括所投产品费用、安装调试费、测试验收费、培训费、运行维护费用、税金、国际国内运输保险、报关清关、开证、办理全套免税手续费用及其他有关的为完成本项目发生的所有费用，招标文件中另有规定的除外。</w:t>
      </w:r>
    </w:p>
    <w:p w14:paraId="00DC0549">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12.4其它费用处理</w:t>
      </w:r>
    </w:p>
    <w:p w14:paraId="34FED9E7">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招标文件未列明，而投标人认为必需的费用也需列入报价。</w:t>
      </w:r>
    </w:p>
    <w:p w14:paraId="5057F5B1">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12.5投标货币</w:t>
      </w:r>
    </w:p>
    <w:p w14:paraId="6E13A233">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投标文件中的服务单价和总价无特殊规定的采用人民币报价，以元为单位标注。招标文件中另有规定的按规定执行。</w:t>
      </w:r>
    </w:p>
    <w:p w14:paraId="2EEFC7AB">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12.6 投标配置与分项报价表上的价格应按下列方式分开填写：</w:t>
      </w:r>
    </w:p>
    <w:p w14:paraId="0D361C0B">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1、项目总价：包括采购人需求的产品价格、质量保证费用、培训费用及售后服务费用，项目在指定地点、环境交付、安装、调试、验收所需费用和所有相关税金费用及为完成整个项目所产生的其他所有费用。</w:t>
      </w:r>
    </w:p>
    <w:p w14:paraId="306FD78E">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2、项目单价按投标配置及分项报价表中要求填报。</w:t>
      </w:r>
    </w:p>
    <w:p w14:paraId="42D3440A">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13、技术参数响应及偏离表、商务条款响应及偏离表及投标货物说明</w:t>
      </w:r>
    </w:p>
    <w:p w14:paraId="31744218">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13.1 对招标文件中的技术与商务条款要求逐项作出响应或偏离，并说明原因；</w:t>
      </w:r>
    </w:p>
    <w:p w14:paraId="45D00A48">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13.2 提供参加本项目类似案例简介；</w:t>
      </w:r>
    </w:p>
    <w:p w14:paraId="48048E06">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13.3 培训计划；</w:t>
      </w:r>
    </w:p>
    <w:p w14:paraId="5C2D3FAD">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13.4 详细阐述所投货物的主要组成部分、功能设计、实现思路及关键技术；</w:t>
      </w:r>
    </w:p>
    <w:p w14:paraId="1069ABDC">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13.5 投标人认为需要的其他技术文件或说明。</w:t>
      </w:r>
    </w:p>
    <w:p w14:paraId="1535EDC6">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14、服务承诺及售后服务机构、人员的情况介绍</w:t>
      </w:r>
    </w:p>
    <w:p w14:paraId="4CBA5FDB">
      <w:pPr>
        <w:spacing w:line="360" w:lineRule="auto"/>
        <w:rPr>
          <w:rFonts w:ascii="宋体" w:hAnsi="宋体"/>
          <w:bCs/>
          <w:color w:val="auto"/>
          <w:szCs w:val="21"/>
          <w:highlight w:val="none"/>
        </w:rPr>
      </w:pPr>
      <w:r>
        <w:rPr>
          <w:rFonts w:hint="eastAsia" w:ascii="宋体" w:hAnsi="宋体"/>
          <w:bCs/>
          <w:color w:val="auto"/>
          <w:szCs w:val="21"/>
          <w:highlight w:val="none"/>
        </w:rPr>
        <w:t xml:space="preserve">    14.1投标人的服务承诺应按不低于招标文件中商务要求的标准。</w:t>
      </w:r>
    </w:p>
    <w:p w14:paraId="6EE47F63">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14.2提供投标人有关售后服务的管理制度、售后服务机构的分布情况、售后服务人员的数量、素质、技术水平及售后服务的反应能力。</w:t>
      </w:r>
    </w:p>
    <w:p w14:paraId="2598AE70">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15、投标函和开标一览表</w:t>
      </w:r>
    </w:p>
    <w:p w14:paraId="07DE518C">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15.1 投标人应按照招标文件中提供的格式完整、正确填写投标函、开标一览表。</w:t>
      </w:r>
    </w:p>
    <w:p w14:paraId="5E9CD897">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15.2 开标一览表中的价格应与投标文件中分项报价表中的价格一致，如不一致，不作为无效投标处理，但评标时按开标一览表中价格为准。</w:t>
      </w:r>
    </w:p>
    <w:p w14:paraId="16234450">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16、投标有效期</w:t>
      </w:r>
    </w:p>
    <w:p w14:paraId="45C39786">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16.1 投标有效期为开标之日起六十（60）天。投标有效期比规定短的将被视为非响应性投标而予以拒绝。</w:t>
      </w:r>
    </w:p>
    <w:p w14:paraId="4A90C670">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16.2 在特殊情况下，代理机构于原投标有效期满之前，可向投标人提出延长投标有效期的要求。这种要求与答复均应采用书面形式。投标人可以拒绝代理机构的这一要求而放弃投标；同意延长投标有效期的投标人既不能要求也不允许修改其投标文件。本招标文件受投标有效期约束的所有权利与义务均延长至新的有效期。</w:t>
      </w:r>
    </w:p>
    <w:p w14:paraId="2EE5F057">
      <w:pPr>
        <w:spacing w:line="360" w:lineRule="auto"/>
        <w:ind w:firstLine="422" w:firstLineChars="200"/>
        <w:rPr>
          <w:rFonts w:ascii="宋体" w:hAnsi="宋体"/>
          <w:b/>
          <w:color w:val="auto"/>
          <w:szCs w:val="21"/>
          <w:highlight w:val="none"/>
        </w:rPr>
      </w:pPr>
      <w:bookmarkStart w:id="44" w:name="_Toc513029225"/>
      <w:bookmarkStart w:id="45" w:name="_Toc20823297"/>
      <w:bookmarkStart w:id="46" w:name="_Toc16938541"/>
      <w:bookmarkStart w:id="47" w:name="_Toc462564084"/>
      <w:r>
        <w:rPr>
          <w:rFonts w:hint="eastAsia" w:ascii="宋体" w:hAnsi="宋体"/>
          <w:b/>
          <w:color w:val="auto"/>
          <w:szCs w:val="21"/>
          <w:highlight w:val="none"/>
        </w:rPr>
        <w:t>17、</w:t>
      </w:r>
      <w:bookmarkEnd w:id="44"/>
      <w:bookmarkEnd w:id="45"/>
      <w:bookmarkEnd w:id="46"/>
      <w:bookmarkEnd w:id="47"/>
      <w:bookmarkStart w:id="48" w:name="_Toc513029226"/>
      <w:bookmarkStart w:id="49" w:name="_Toc20823298"/>
      <w:bookmarkStart w:id="50" w:name="_Toc16938542"/>
      <w:r>
        <w:rPr>
          <w:rFonts w:hint="eastAsia" w:ascii="宋体" w:hAnsi="宋体"/>
          <w:b/>
          <w:color w:val="auto"/>
          <w:szCs w:val="21"/>
          <w:highlight w:val="none"/>
        </w:rPr>
        <w:t>投标文件份数和签署</w:t>
      </w:r>
    </w:p>
    <w:p w14:paraId="5CA7DA45">
      <w:pPr>
        <w:spacing w:line="360" w:lineRule="auto"/>
        <w:ind w:firstLine="420" w:firstLineChars="200"/>
        <w:rPr>
          <w:rFonts w:ascii="宋体" w:hAnsi="宋体"/>
          <w:bCs/>
          <w:color w:val="auto"/>
          <w:szCs w:val="21"/>
          <w:highlight w:val="none"/>
        </w:rPr>
      </w:pPr>
      <w:r>
        <w:rPr>
          <w:rFonts w:hint="eastAsia" w:ascii="宋体" w:hAnsi="宋体"/>
          <w:color w:val="auto"/>
          <w:szCs w:val="21"/>
          <w:highlight w:val="none"/>
        </w:rPr>
        <w:t>17.1</w:t>
      </w:r>
      <w:r>
        <w:rPr>
          <w:rFonts w:hint="eastAsia" w:ascii="宋体" w:hAnsi="宋体"/>
          <w:bCs/>
          <w:color w:val="auto"/>
          <w:szCs w:val="21"/>
          <w:highlight w:val="none"/>
        </w:rPr>
        <w:t>投标人应严格按照招标公告和招标文件要求的份数准备投标文件，每份投标文件须清楚地标明“正本”或“副本”字样。一旦正本和副本不符，以正本为准。</w:t>
      </w:r>
    </w:p>
    <w:p w14:paraId="20665CBE">
      <w:pPr>
        <w:spacing w:line="360" w:lineRule="auto"/>
        <w:ind w:firstLine="420" w:firstLineChars="200"/>
        <w:rPr>
          <w:rFonts w:ascii="宋体" w:hAnsi="宋体"/>
          <w:bCs/>
          <w:color w:val="auto"/>
          <w:szCs w:val="21"/>
          <w:highlight w:val="none"/>
        </w:rPr>
      </w:pPr>
      <w:r>
        <w:rPr>
          <w:rFonts w:hint="eastAsia" w:ascii="宋体" w:hAnsi="宋体"/>
          <w:color w:val="auto"/>
          <w:szCs w:val="21"/>
          <w:highlight w:val="none"/>
        </w:rPr>
        <w:t>17.2投标文件正本中，除招标文件规定的可提交复印件外，其他文件均须提交原件。文字材料需打印或用不褪色墨水书写。投标文件的正本须经法定代表人或授权代表签署和加盖投标人公章。 本采购文件所表述（指定）的公章是指法定名称章，不包括合同专用章、业务专用章等印章。</w:t>
      </w:r>
    </w:p>
    <w:p w14:paraId="68C14708">
      <w:pPr>
        <w:spacing w:line="360" w:lineRule="auto"/>
        <w:ind w:firstLine="420" w:firstLineChars="200"/>
        <w:rPr>
          <w:rFonts w:ascii="宋体" w:hAnsi="宋体"/>
          <w:color w:val="auto"/>
          <w:highlight w:val="none"/>
        </w:rPr>
      </w:pPr>
      <w:r>
        <w:rPr>
          <w:rFonts w:hint="eastAsia" w:ascii="宋体" w:hAnsi="宋体"/>
          <w:color w:val="auto"/>
          <w:szCs w:val="21"/>
          <w:highlight w:val="none"/>
        </w:rPr>
        <w:t>17.3</w:t>
      </w:r>
      <w:r>
        <w:rPr>
          <w:rFonts w:hint="eastAsia" w:ascii="宋体" w:hAnsi="宋体"/>
          <w:bCs/>
          <w:color w:val="auto"/>
          <w:szCs w:val="21"/>
          <w:highlight w:val="none"/>
        </w:rPr>
        <w:t xml:space="preserve"> 除投标人对错处做必要修改外，投标文件不得行间插字、涂改或增删。如有修改错漏处，必须由法定代表人或授权代表签字或盖章。</w:t>
      </w:r>
    </w:p>
    <w:p w14:paraId="632FA46F">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18、投标文件的密封和标记</w:t>
      </w:r>
    </w:p>
    <w:p w14:paraId="4FA0DA74">
      <w:pPr>
        <w:spacing w:line="360" w:lineRule="auto"/>
        <w:ind w:firstLine="420" w:firstLineChars="200"/>
        <w:rPr>
          <w:rFonts w:ascii="宋体" w:hAnsi="宋体"/>
          <w:bCs/>
          <w:color w:val="auto"/>
          <w:szCs w:val="21"/>
          <w:highlight w:val="none"/>
        </w:rPr>
      </w:pPr>
      <w:r>
        <w:rPr>
          <w:rFonts w:hint="eastAsia" w:ascii="宋体" w:hAnsi="宋体"/>
          <w:color w:val="auto"/>
          <w:szCs w:val="21"/>
          <w:highlight w:val="none"/>
        </w:rPr>
        <w:t>18.1</w:t>
      </w:r>
      <w:r>
        <w:rPr>
          <w:rFonts w:hint="eastAsia" w:ascii="宋体" w:hAnsi="宋体"/>
          <w:bCs/>
          <w:color w:val="auto"/>
          <w:szCs w:val="21"/>
          <w:highlight w:val="none"/>
        </w:rPr>
        <w:t>投标人应将投标文件正本和所有副本密封，不论投标人中标与否，投标文件均不退回。</w:t>
      </w:r>
    </w:p>
    <w:p w14:paraId="112511DE">
      <w:pPr>
        <w:spacing w:line="360" w:lineRule="auto"/>
        <w:ind w:firstLine="420" w:firstLineChars="200"/>
        <w:rPr>
          <w:rFonts w:ascii="宋体" w:hAnsi="宋体"/>
          <w:bCs/>
          <w:color w:val="auto"/>
          <w:szCs w:val="21"/>
          <w:highlight w:val="none"/>
        </w:rPr>
      </w:pPr>
      <w:r>
        <w:rPr>
          <w:rFonts w:hint="eastAsia" w:ascii="宋体" w:hAnsi="宋体"/>
          <w:color w:val="auto"/>
          <w:szCs w:val="21"/>
          <w:highlight w:val="none"/>
        </w:rPr>
        <w:t>18.2</w:t>
      </w:r>
      <w:r>
        <w:rPr>
          <w:rFonts w:hint="eastAsia" w:ascii="宋体" w:hAnsi="宋体"/>
          <w:bCs/>
          <w:color w:val="auto"/>
          <w:szCs w:val="21"/>
          <w:highlight w:val="none"/>
        </w:rPr>
        <w:t xml:space="preserve"> 密封的投标文件应：</w:t>
      </w:r>
    </w:p>
    <w:p w14:paraId="7E3CCD33">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18.2.1 注明投标人名称，如因标注不清而产生的后果由投标人自负。按招标公告中注明的地址送达；</w:t>
      </w:r>
    </w:p>
    <w:p w14:paraId="4CA6D708">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18.2.2注明投标项目名称、标书编号及包号。</w:t>
      </w:r>
    </w:p>
    <w:p w14:paraId="60376751">
      <w:pPr>
        <w:spacing w:line="360" w:lineRule="auto"/>
        <w:ind w:firstLine="420" w:firstLineChars="200"/>
        <w:rPr>
          <w:rFonts w:ascii="宋体" w:hAnsi="宋体"/>
          <w:b/>
          <w:color w:val="auto"/>
          <w:szCs w:val="21"/>
          <w:highlight w:val="none"/>
        </w:rPr>
      </w:pPr>
      <w:r>
        <w:rPr>
          <w:rFonts w:hint="eastAsia" w:ascii="宋体" w:hAnsi="宋体"/>
          <w:color w:val="auto"/>
          <w:szCs w:val="21"/>
          <w:highlight w:val="none"/>
        </w:rPr>
        <w:t>18.2.3</w:t>
      </w:r>
      <w:r>
        <w:rPr>
          <w:rFonts w:hint="eastAsia" w:ascii="宋体" w:hAnsi="宋体"/>
          <w:bCs/>
          <w:color w:val="auto"/>
          <w:szCs w:val="21"/>
          <w:highlight w:val="none"/>
        </w:rPr>
        <w:t>未按要求密封和加写标记，代理机构对误投或过早启封概不负责。对由此造成提前开封的投标文件，代理机构将予以拒绝，作无效投标处理。</w:t>
      </w:r>
    </w:p>
    <w:p w14:paraId="562C7D02">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19、投标截止日期</w:t>
      </w:r>
      <w:bookmarkEnd w:id="48"/>
      <w:bookmarkEnd w:id="49"/>
      <w:bookmarkEnd w:id="50"/>
    </w:p>
    <w:p w14:paraId="282642B9">
      <w:pPr>
        <w:spacing w:line="360" w:lineRule="auto"/>
        <w:ind w:firstLine="420" w:firstLineChars="200"/>
        <w:rPr>
          <w:rFonts w:ascii="宋体" w:hAnsi="宋体"/>
          <w:bCs/>
          <w:color w:val="auto"/>
          <w:szCs w:val="21"/>
          <w:highlight w:val="none"/>
        </w:rPr>
      </w:pPr>
      <w:r>
        <w:rPr>
          <w:rFonts w:hint="eastAsia" w:ascii="宋体" w:hAnsi="宋体"/>
          <w:color w:val="auto"/>
          <w:szCs w:val="21"/>
          <w:highlight w:val="none"/>
        </w:rPr>
        <w:t>19.1</w:t>
      </w:r>
      <w:r>
        <w:rPr>
          <w:rFonts w:hint="eastAsia" w:ascii="宋体" w:hAnsi="宋体"/>
          <w:bCs/>
          <w:color w:val="auto"/>
          <w:szCs w:val="21"/>
          <w:highlight w:val="none"/>
        </w:rPr>
        <w:t xml:space="preserve"> 代理机构收到投标文件的时间不得迟于招标公告中规定的截止时间。</w:t>
      </w:r>
    </w:p>
    <w:p w14:paraId="60970264">
      <w:pPr>
        <w:spacing w:line="360" w:lineRule="auto"/>
        <w:ind w:firstLine="420" w:firstLineChars="200"/>
        <w:rPr>
          <w:rFonts w:ascii="宋体" w:hAnsi="宋体"/>
          <w:bCs/>
          <w:color w:val="auto"/>
          <w:szCs w:val="21"/>
          <w:highlight w:val="none"/>
        </w:rPr>
      </w:pPr>
      <w:r>
        <w:rPr>
          <w:rFonts w:hint="eastAsia" w:ascii="宋体" w:hAnsi="宋体"/>
          <w:color w:val="auto"/>
          <w:szCs w:val="21"/>
          <w:highlight w:val="none"/>
        </w:rPr>
        <w:t>19.2</w:t>
      </w:r>
      <w:r>
        <w:rPr>
          <w:rFonts w:hint="eastAsia" w:ascii="宋体" w:hAnsi="宋体"/>
          <w:bCs/>
          <w:color w:val="auto"/>
          <w:szCs w:val="21"/>
          <w:highlight w:val="none"/>
        </w:rPr>
        <w:t xml:space="preserve"> 代理机构可以通过修改招标文件酌情延长投标截止日期，在此情况下，投标人的所有权利和义务以及投标人受制的截止日期均应以延长后新的截止日期为准。</w:t>
      </w:r>
    </w:p>
    <w:p w14:paraId="2BB4DC5B">
      <w:pPr>
        <w:spacing w:line="360" w:lineRule="auto"/>
        <w:ind w:firstLine="422" w:firstLineChars="200"/>
        <w:rPr>
          <w:rFonts w:ascii="宋体" w:hAnsi="宋体"/>
          <w:b/>
          <w:color w:val="auto"/>
          <w:szCs w:val="21"/>
          <w:highlight w:val="none"/>
        </w:rPr>
      </w:pPr>
      <w:bookmarkStart w:id="51" w:name="_Toc20823299"/>
      <w:bookmarkStart w:id="52" w:name="_Toc16938543"/>
      <w:bookmarkStart w:id="53" w:name="_Toc513029227"/>
      <w:r>
        <w:rPr>
          <w:rFonts w:hint="eastAsia" w:ascii="宋体" w:hAnsi="宋体"/>
          <w:b/>
          <w:color w:val="auto"/>
          <w:szCs w:val="21"/>
          <w:highlight w:val="none"/>
        </w:rPr>
        <w:t>20、投标文件</w:t>
      </w:r>
      <w:bookmarkEnd w:id="51"/>
      <w:bookmarkEnd w:id="52"/>
      <w:bookmarkEnd w:id="53"/>
      <w:r>
        <w:rPr>
          <w:rFonts w:hint="eastAsia" w:ascii="宋体" w:hAnsi="宋体"/>
          <w:b/>
          <w:color w:val="auto"/>
          <w:szCs w:val="21"/>
          <w:highlight w:val="none"/>
        </w:rPr>
        <w:t>的拒收</w:t>
      </w:r>
    </w:p>
    <w:p w14:paraId="09862E50">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20.1代理机构拒绝接收在其规定的投标截止时间后递交的任何投标文件。</w:t>
      </w:r>
    </w:p>
    <w:p w14:paraId="13E7E174">
      <w:pPr>
        <w:spacing w:line="360" w:lineRule="auto"/>
        <w:ind w:firstLine="422" w:firstLineChars="200"/>
        <w:rPr>
          <w:rFonts w:ascii="宋体" w:hAnsi="宋体"/>
          <w:b/>
          <w:color w:val="auto"/>
          <w:szCs w:val="21"/>
          <w:highlight w:val="none"/>
        </w:rPr>
      </w:pPr>
      <w:bookmarkStart w:id="54" w:name="_Toc513029228"/>
      <w:bookmarkStart w:id="55" w:name="_Toc16938544"/>
      <w:bookmarkStart w:id="56" w:name="_Toc20823300"/>
      <w:r>
        <w:rPr>
          <w:rFonts w:hint="eastAsia" w:ascii="宋体" w:hAnsi="宋体"/>
          <w:b/>
          <w:color w:val="auto"/>
          <w:szCs w:val="21"/>
          <w:highlight w:val="none"/>
        </w:rPr>
        <w:t>21、投标文件的撤回和修改</w:t>
      </w:r>
      <w:bookmarkEnd w:id="54"/>
      <w:bookmarkEnd w:id="55"/>
      <w:bookmarkEnd w:id="56"/>
    </w:p>
    <w:p w14:paraId="3D1DCFFF">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21.1</w:t>
      </w:r>
      <w:r>
        <w:rPr>
          <w:rFonts w:hint="eastAsia" w:ascii="宋体" w:hAnsi="宋体"/>
          <w:bCs/>
          <w:color w:val="auto"/>
          <w:szCs w:val="21"/>
          <w:highlight w:val="none"/>
        </w:rPr>
        <w:t xml:space="preserve"> 投标人在递交投标文件后，可以修改或撤回其投标文件，但这种修改和撤回，必须在规定的投标截止时间前，以书面形式</w:t>
      </w:r>
      <w:r>
        <w:rPr>
          <w:rFonts w:hint="eastAsia" w:ascii="宋体" w:hAnsi="宋体"/>
          <w:color w:val="auto"/>
          <w:szCs w:val="21"/>
          <w:highlight w:val="none"/>
        </w:rPr>
        <w:t>通知代理机构，否则，代理机构将拒绝。</w:t>
      </w:r>
    </w:p>
    <w:p w14:paraId="589BE8A2">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21.2</w:t>
      </w:r>
      <w:r>
        <w:rPr>
          <w:rFonts w:hint="eastAsia" w:ascii="宋体" w:hAnsi="宋体"/>
          <w:bCs/>
          <w:color w:val="auto"/>
          <w:szCs w:val="21"/>
          <w:highlight w:val="none"/>
        </w:rPr>
        <w:t xml:space="preserve"> 投标人的修改或撤回文件应按规定进行编制、密封、标记和发送，并应在封套上加注“修改”或“撤回”字样。</w:t>
      </w:r>
      <w:r>
        <w:rPr>
          <w:rFonts w:hint="eastAsia" w:ascii="宋体" w:hAnsi="宋体"/>
          <w:color w:val="auto"/>
          <w:szCs w:val="21"/>
          <w:highlight w:val="none"/>
        </w:rPr>
        <w:t>上述补充或修改若涉及投标报价，必须注明“最后唯一报价”字样，否则将视为有选择的报价。修改文件必须在投标截止时间前送达代理机构。</w:t>
      </w:r>
    </w:p>
    <w:p w14:paraId="3EF8FFE6">
      <w:pPr>
        <w:spacing w:line="360" w:lineRule="auto"/>
        <w:ind w:firstLine="420" w:firstLineChars="200"/>
        <w:rPr>
          <w:rFonts w:ascii="宋体" w:hAnsi="宋体"/>
          <w:bCs/>
          <w:color w:val="auto"/>
          <w:szCs w:val="21"/>
          <w:highlight w:val="none"/>
        </w:rPr>
      </w:pPr>
      <w:r>
        <w:rPr>
          <w:rFonts w:hint="eastAsia" w:ascii="宋体" w:hAnsi="宋体"/>
          <w:color w:val="auto"/>
          <w:szCs w:val="21"/>
          <w:highlight w:val="none"/>
        </w:rPr>
        <w:t>21.3</w:t>
      </w:r>
      <w:r>
        <w:rPr>
          <w:rFonts w:hint="eastAsia" w:ascii="宋体" w:hAnsi="宋体"/>
          <w:bCs/>
          <w:color w:val="auto"/>
          <w:szCs w:val="21"/>
          <w:highlight w:val="none"/>
        </w:rPr>
        <w:t xml:space="preserve"> 在投标截止时间之后，投标人不得对其投标文件作任何修改。</w:t>
      </w:r>
    </w:p>
    <w:p w14:paraId="2972638E">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21.4</w:t>
      </w:r>
      <w:r>
        <w:rPr>
          <w:rFonts w:hint="eastAsia" w:ascii="宋体" w:hAnsi="宋体"/>
          <w:bCs/>
          <w:color w:val="auto"/>
          <w:szCs w:val="21"/>
          <w:highlight w:val="none"/>
        </w:rPr>
        <w:t xml:space="preserve"> 在投标截止时间至招标文件中规定的投标有效期满之间的这段时间内，投标人不得撤回其投标。</w:t>
      </w:r>
    </w:p>
    <w:p w14:paraId="53BF7567">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22、开标</w:t>
      </w:r>
    </w:p>
    <w:p w14:paraId="6A53CAC6">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22.1</w:t>
      </w:r>
      <w:r>
        <w:rPr>
          <w:rFonts w:hint="eastAsia" w:ascii="宋体" w:hAnsi="宋体"/>
          <w:bCs/>
          <w:color w:val="auto"/>
          <w:szCs w:val="21"/>
          <w:highlight w:val="none"/>
        </w:rPr>
        <w:t xml:space="preserve"> 代理机构将在招标公告中规定的时间和地点组织公开开标</w:t>
      </w:r>
      <w:r>
        <w:rPr>
          <w:rFonts w:hint="eastAsia" w:ascii="宋体" w:hAnsi="宋体"/>
          <w:color w:val="auto"/>
          <w:szCs w:val="21"/>
          <w:highlight w:val="none"/>
        </w:rPr>
        <w:t>。投标人应委派携带有效证件的代表准时参加，参加开标的代表需签名以证明其出席。投标人未参加开标的，视同认可开标结果。</w:t>
      </w:r>
    </w:p>
    <w:p w14:paraId="3B1BB0BD">
      <w:pPr>
        <w:spacing w:line="360" w:lineRule="auto"/>
        <w:rPr>
          <w:rFonts w:ascii="宋体" w:hAnsi="宋体"/>
          <w:color w:val="auto"/>
          <w:szCs w:val="21"/>
          <w:highlight w:val="none"/>
        </w:rPr>
      </w:pPr>
      <w:r>
        <w:rPr>
          <w:rFonts w:hint="eastAsia" w:ascii="宋体" w:hAnsi="宋体"/>
          <w:bCs/>
          <w:color w:val="auto"/>
          <w:szCs w:val="21"/>
          <w:highlight w:val="none"/>
        </w:rPr>
        <w:t>22.2</w:t>
      </w:r>
      <w:r>
        <w:rPr>
          <w:rFonts w:hint="eastAsia" w:ascii="宋体" w:hAnsi="宋体"/>
          <w:color w:val="auto"/>
          <w:szCs w:val="21"/>
          <w:highlight w:val="none"/>
        </w:rPr>
        <w:t>开标仪式由代理机构组织，采购人代表、公证员（如有）、监委、投标人代表等参加。</w:t>
      </w:r>
    </w:p>
    <w:p w14:paraId="3873F7E5">
      <w:pPr>
        <w:spacing w:line="360" w:lineRule="auto"/>
        <w:ind w:firstLine="420" w:firstLineChars="200"/>
        <w:rPr>
          <w:rFonts w:ascii="宋体" w:hAnsi="宋体"/>
          <w:bCs/>
          <w:color w:val="auto"/>
          <w:szCs w:val="21"/>
          <w:highlight w:val="none"/>
        </w:rPr>
      </w:pPr>
      <w:r>
        <w:rPr>
          <w:rFonts w:hint="eastAsia" w:ascii="宋体" w:hAnsi="宋体"/>
          <w:color w:val="auto"/>
          <w:szCs w:val="21"/>
          <w:highlight w:val="none"/>
        </w:rPr>
        <w:t>22.3</w:t>
      </w:r>
      <w:r>
        <w:rPr>
          <w:rFonts w:hint="eastAsia" w:ascii="宋体" w:hAnsi="宋体"/>
          <w:bCs/>
          <w:color w:val="auto"/>
          <w:szCs w:val="21"/>
          <w:highlight w:val="none"/>
        </w:rPr>
        <w:t>按照规定同意撤回的投标文件将不予开封。</w:t>
      </w:r>
    </w:p>
    <w:p w14:paraId="2D909C68">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22.4 开标时请投标人推选的代表查验投标文件密封情况，投标登记薄上作纪录无误后，代理机构当众拆封宣读每份投标文件中“开标一览表”的内容，未列入开标一览表的内容一律不在开标时宣读。开标时未宣读的投标报价信息，不得在评标时采用。</w:t>
      </w:r>
    </w:p>
    <w:p w14:paraId="710150B5">
      <w:pPr>
        <w:spacing w:line="360" w:lineRule="auto"/>
        <w:rPr>
          <w:rFonts w:ascii="宋体" w:hAnsi="宋体"/>
          <w:color w:val="auto"/>
          <w:szCs w:val="21"/>
          <w:highlight w:val="none"/>
        </w:rPr>
      </w:pPr>
      <w:r>
        <w:rPr>
          <w:rFonts w:hint="eastAsia" w:ascii="宋体" w:hAnsi="宋体"/>
          <w:color w:val="auto"/>
          <w:szCs w:val="21"/>
          <w:highlight w:val="none"/>
        </w:rPr>
        <w:t xml:space="preserve">    22.5 代理机构将指定专人负责开标记录并存档备查，各投标人需仔细核对开标纪录相关内容并签字确认。</w:t>
      </w:r>
    </w:p>
    <w:p w14:paraId="5ABDD6BD">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22.6 投标人在报价时不允许采用选择性报价，否则将被视为无效投标。</w:t>
      </w:r>
    </w:p>
    <w:p w14:paraId="2EF09AE2">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23、评标委员会</w:t>
      </w:r>
    </w:p>
    <w:p w14:paraId="29C8E193">
      <w:pPr>
        <w:spacing w:line="360" w:lineRule="auto"/>
        <w:rPr>
          <w:rFonts w:ascii="宋体" w:hAnsi="宋体"/>
          <w:bCs/>
          <w:color w:val="auto"/>
          <w:szCs w:val="21"/>
          <w:highlight w:val="none"/>
        </w:rPr>
      </w:pPr>
      <w:r>
        <w:rPr>
          <w:rFonts w:hint="eastAsia" w:ascii="宋体" w:hAnsi="宋体"/>
          <w:bCs/>
          <w:color w:val="auto"/>
          <w:szCs w:val="21"/>
          <w:highlight w:val="none"/>
        </w:rPr>
        <w:t xml:space="preserve">    23.1 开标后，代理机构将立即组织评标委员会（以下简称评委会）进行评标。</w:t>
      </w:r>
    </w:p>
    <w:p w14:paraId="436C15CE">
      <w:pPr>
        <w:spacing w:line="360" w:lineRule="auto"/>
        <w:rPr>
          <w:rFonts w:ascii="宋体" w:hAnsi="宋体"/>
          <w:bCs/>
          <w:color w:val="auto"/>
          <w:szCs w:val="21"/>
          <w:highlight w:val="none"/>
        </w:rPr>
      </w:pPr>
      <w:r>
        <w:rPr>
          <w:rFonts w:hint="eastAsia" w:ascii="宋体" w:hAnsi="宋体"/>
          <w:bCs/>
          <w:color w:val="auto"/>
          <w:szCs w:val="21"/>
          <w:highlight w:val="none"/>
        </w:rPr>
        <w:t xml:space="preserve">    23.2 评委会由采购人代表和有关技术、经济等方面的专家组成，且人员构成符合政府采购有关规定。</w:t>
      </w:r>
    </w:p>
    <w:p w14:paraId="192F0183">
      <w:pPr>
        <w:spacing w:line="360" w:lineRule="auto"/>
        <w:rPr>
          <w:rFonts w:ascii="宋体" w:hAnsi="宋体"/>
          <w:bCs/>
          <w:color w:val="auto"/>
          <w:szCs w:val="21"/>
          <w:highlight w:val="none"/>
        </w:rPr>
      </w:pPr>
      <w:r>
        <w:rPr>
          <w:rFonts w:hint="eastAsia" w:ascii="宋体" w:hAnsi="宋体"/>
          <w:bCs/>
          <w:color w:val="auto"/>
          <w:szCs w:val="21"/>
          <w:highlight w:val="none"/>
        </w:rPr>
        <w:t xml:space="preserve">    23.3评委会独立工作，负责评审所有投标文件并确定中标候选人。</w:t>
      </w:r>
    </w:p>
    <w:p w14:paraId="2660C5E8">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24、评标过程的保密与公正</w:t>
      </w:r>
    </w:p>
    <w:p w14:paraId="0B16EB2C">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24.1公开开标后，直至签订合同之日止，凡是与审查、澄清、评价和比较投标的有关资料以及授标建议等，采购人、评委、代理机构工作人员均不得向投标人或与评标无关的其他人员透露。</w:t>
      </w:r>
    </w:p>
    <w:p w14:paraId="4E75156C">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24.2在评标过程中，投标人不得以任何行为影响评标过程，否则其投标文件将被作为无效投标文件。</w:t>
      </w:r>
    </w:p>
    <w:p w14:paraId="7A92A767">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24.3 在评标期间，代理机构将设专门工作人员与投标人联系。</w:t>
      </w:r>
    </w:p>
    <w:p w14:paraId="7A1F9AF6">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24.4 代理机构和评委会不向未中标的投标人解释未中标原因，也不公布评标过程中的相关细节。</w:t>
      </w:r>
    </w:p>
    <w:p w14:paraId="136166E9">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 xml:space="preserve">24.5 </w:t>
      </w:r>
      <w:r>
        <w:rPr>
          <w:rFonts w:hint="eastAsia" w:ascii="宋体" w:hAnsi="宋体"/>
          <w:color w:val="auto"/>
          <w:szCs w:val="21"/>
          <w:highlight w:val="none"/>
        </w:rPr>
        <w:t>采用综合评分法的项目，未中标的投标人如需了解自己的评审得分及排序情况，可于中标结果公告期限届满之日起7个工作日内，由其法定代表人或授权代表携带本人有效身份证件到公共资源代理机构进行查询，逾期将不予受理。</w:t>
      </w:r>
    </w:p>
    <w:p w14:paraId="296B43DF">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25、投标的澄清</w:t>
      </w:r>
    </w:p>
    <w:p w14:paraId="0EB474CA">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25.1评标期间，为有助于对投标文件的审查、评价和比较，评委会有权以书面形式要求投标人对其投标文件进行澄清，但并非对每个投标人都作澄清要求。</w:t>
      </w:r>
    </w:p>
    <w:p w14:paraId="0625B8BF">
      <w:pPr>
        <w:spacing w:line="360" w:lineRule="auto"/>
        <w:rPr>
          <w:rFonts w:ascii="宋体" w:hAnsi="宋体"/>
          <w:color w:val="auto"/>
          <w:szCs w:val="21"/>
          <w:highlight w:val="none"/>
        </w:rPr>
      </w:pPr>
      <w:r>
        <w:rPr>
          <w:rFonts w:hint="eastAsia" w:ascii="宋体" w:hAnsi="宋体"/>
          <w:color w:val="auto"/>
          <w:szCs w:val="21"/>
          <w:highlight w:val="none"/>
        </w:rPr>
        <w:t xml:space="preserve">    25.2接到评委会澄清要求的投标人应派人按评委会通知的时间和地点做出书面澄清，书面澄清的内容须由投标人法定代表人或授权代表签署，并作为投标文件的补充部分，但投标的价格和实质性的内容不得做任何更改。</w:t>
      </w:r>
    </w:p>
    <w:p w14:paraId="3AEAA828">
      <w:pPr>
        <w:spacing w:line="360" w:lineRule="auto"/>
        <w:rPr>
          <w:rFonts w:ascii="宋体" w:hAnsi="宋体"/>
          <w:bCs/>
          <w:color w:val="auto"/>
          <w:szCs w:val="21"/>
          <w:highlight w:val="none"/>
        </w:rPr>
      </w:pPr>
      <w:r>
        <w:rPr>
          <w:rFonts w:hint="eastAsia" w:ascii="宋体" w:hAnsi="宋体"/>
          <w:color w:val="auto"/>
          <w:szCs w:val="21"/>
          <w:highlight w:val="none"/>
        </w:rPr>
        <w:t xml:space="preserve">    25.3 接到评委会澄清要求的投标人如未按规定做出澄清，其风险由投标人自行承担。</w:t>
      </w:r>
    </w:p>
    <w:p w14:paraId="669E65A6">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26、对投标文件的初审</w:t>
      </w:r>
    </w:p>
    <w:p w14:paraId="2FAD4C9C">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26.1投标文件初审分为资格审查和符合性审查。</w:t>
      </w:r>
    </w:p>
    <w:p w14:paraId="5278AB44">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26.1.1资格审查：依据法律法规和招标文件的规定，由采购人对投标文件中的资格证明文件进行审查。并将审查结论以书面形式向评委会反馈。</w:t>
      </w:r>
    </w:p>
    <w:p w14:paraId="7F524675">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采购人在进行资格性审查的同时，将在“信用中国”网站（www.creditchina.gov.cn）、“中国政府采购网"(www.ccgp.gov.cn)对投标人是否被列入失信被执行人、重大税收违法案件当事人名单、政府采购严重失信行为记录名单情况进行查询，以确定投标人是否具备投标资格。查询结果将以网页打印的形式留存并归档。</w:t>
      </w:r>
    </w:p>
    <w:p w14:paraId="7A0F11A9">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若接受联合体投标的项目，两个以上的自然人、法人或者其他组织组成一个联合体，以一个供应商的身份共同参加政府采购活动的,联合体成员存在不良信用记录的，视同联合体存在不良信用记录。</w:t>
      </w:r>
    </w:p>
    <w:p w14:paraId="452C32D2">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26.1.2符合性检查：依据招标文件的规定，由评委会从投标文件的有效性、完整性和对招标文件的响应程度进行审查，以确定是否对招标文件的实质性要求作出响应。</w:t>
      </w:r>
    </w:p>
    <w:p w14:paraId="54576E75">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26.1.3 未通过资格审查或符合性审查的投标人，代理机构将告知未通过资格审查或符合性审查的原因，评审结束后，代理机构将不再告知未通过资格审查或符合性审查的原因。</w:t>
      </w:r>
    </w:p>
    <w:p w14:paraId="6146A3D2">
      <w:pPr>
        <w:spacing w:line="360" w:lineRule="auto"/>
        <w:ind w:firstLine="420" w:firstLineChars="200"/>
        <w:rPr>
          <w:rFonts w:ascii="宋体" w:hAnsi="宋体"/>
          <w:color w:val="auto"/>
          <w:szCs w:val="21"/>
          <w:highlight w:val="none"/>
        </w:rPr>
      </w:pPr>
      <w:r>
        <w:rPr>
          <w:rFonts w:hint="eastAsia" w:ascii="宋体" w:hAnsi="宋体"/>
          <w:bCs/>
          <w:color w:val="auto"/>
          <w:szCs w:val="21"/>
          <w:highlight w:val="none"/>
        </w:rPr>
        <w:t>26.2</w:t>
      </w:r>
      <w:r>
        <w:rPr>
          <w:rFonts w:hint="eastAsia" w:ascii="宋体" w:hAnsi="宋体"/>
          <w:color w:val="auto"/>
          <w:szCs w:val="21"/>
          <w:highlight w:val="none"/>
        </w:rPr>
        <w:t>在详细评标之前，评委会将首先审查每份投标文件是否实质性响应了招标文件的要求。实质性响应的投标应该是与招标文件要求的全部条款、条件和规格相符，没有重大偏离或保留的投标。</w:t>
      </w:r>
    </w:p>
    <w:p w14:paraId="7230B352">
      <w:pPr>
        <w:spacing w:line="360" w:lineRule="auto"/>
        <w:ind w:firstLine="420" w:firstLineChars="200"/>
        <w:rPr>
          <w:rFonts w:ascii="宋体" w:hAnsi="宋体"/>
          <w:bCs/>
          <w:color w:val="auto"/>
          <w:szCs w:val="21"/>
          <w:highlight w:val="none"/>
        </w:rPr>
      </w:pPr>
      <w:r>
        <w:rPr>
          <w:rFonts w:hint="eastAsia" w:ascii="宋体" w:hAnsi="宋体"/>
          <w:color w:val="auto"/>
          <w:szCs w:val="21"/>
          <w:highlight w:val="none"/>
        </w:rPr>
        <w:t>所谓重大偏离或保留是指与招标文件规定的实质性要求存在负偏离，或者在实质上与招标文件不一致，而且限制了合同中买方（采购人）和见证方（代理机构）的权利或投标人的义务，纠正这些偏离或保留将会对其他实质性响应要求的投标人的竞争地位产生不公正的影响。是否属于重大偏离由评委会按照少数服从多数的原则作出结论。</w:t>
      </w:r>
      <w:r>
        <w:rPr>
          <w:rFonts w:hint="eastAsia" w:ascii="宋体" w:hAnsi="宋体"/>
          <w:bCs/>
          <w:color w:val="auto"/>
          <w:szCs w:val="21"/>
          <w:highlight w:val="none"/>
        </w:rPr>
        <w:t>评委决定投标文件的响应性只根据投标文件本身的内容，而不寻求外部的证据。</w:t>
      </w:r>
    </w:p>
    <w:p w14:paraId="296C73A1">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26.3如果投标文件实质上没有响应招标文件的要求，评委会将予以拒绝，投标人不得通过修改或撤销不合要求的偏离或保留而使其投标成为实质性响应的投标。</w:t>
      </w:r>
    </w:p>
    <w:p w14:paraId="3D36DBC5">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26.4评委会将对确定为实质性响应的投标进行进一步审核，看其是否有计算上或累加上的算术错误，修正错误的原则如下：</w:t>
      </w:r>
    </w:p>
    <w:p w14:paraId="5C6D4A25">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（1）投标文件中开标一览表内容与投标文件中相应内容不一致的，以开标一览表为准。</w:t>
      </w:r>
    </w:p>
    <w:p w14:paraId="5FE8F889">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（2）大写金额与小写金额不一致的，以大写金额为准。</w:t>
      </w:r>
    </w:p>
    <w:p w14:paraId="43A0EBB8">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（3）单价金额小数点或者百分比有明显错位的，以开标一览表的总价为准，并修改单价。</w:t>
      </w:r>
    </w:p>
    <w:p w14:paraId="68443BD5">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（4）总价金额与按单价汇总金额不一致的，以单价金额计算结果为准。</w:t>
      </w:r>
    </w:p>
    <w:p w14:paraId="112BC301">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同时出现两种以上错误的，按照前款规定的顺序修正。</w:t>
      </w:r>
    </w:p>
    <w:p w14:paraId="2A60868C">
      <w:pPr>
        <w:spacing w:line="360" w:lineRule="auto"/>
        <w:ind w:firstLine="420" w:firstLineChars="200"/>
        <w:jc w:val="left"/>
        <w:rPr>
          <w:rFonts w:ascii="宋体" w:hAnsi="宋体"/>
          <w:bCs/>
          <w:color w:val="auto"/>
          <w:szCs w:val="21"/>
          <w:highlight w:val="none"/>
        </w:rPr>
      </w:pPr>
      <w:r>
        <w:rPr>
          <w:rFonts w:hint="eastAsia" w:ascii="宋体" w:hAnsi="宋体"/>
          <w:bCs/>
          <w:color w:val="auto"/>
          <w:szCs w:val="21"/>
          <w:highlight w:val="none"/>
        </w:rPr>
        <w:t>26.5评委会将按上述修正错误的方法调整投标文件中的投标报价，调整后的价格应对投标人具有约束力。如果投标人不接受修正后的价格，则其投标将被拒绝。</w:t>
      </w:r>
    </w:p>
    <w:p w14:paraId="33913541">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26.6评委会将允许修正投标文件中不构成重大偏离的、微小的、非正规的、不一致的或不规则的地方，但这些修改不能影响任何投标人相应的名次排列。</w:t>
      </w:r>
    </w:p>
    <w:p w14:paraId="09FCAB44">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26.7采用最低评标价法的采购项目，提供相同品牌产品的不同投标人参加同一合同项下投标的，以其中通过资格审查、符合性审查且报价最低的参加评标；报价相同的，由评委会按照招标文件规定的方式确定，招标文件未规定的通过随机抽取的方式确定一个参加评标的投标人，其他投标无效。</w:t>
      </w:r>
    </w:p>
    <w:p w14:paraId="4BF7B243">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使用综合评分法的采购项目，提供相同品牌产品且通过资格审查、符合性审查的不同投标人参加同一合同项下投标的，按一家投标人计算，评审后得分最高的同品牌投标人获得中标人推荐资格；评审得分相同的，由评委会根据招标文件规定的方式确定，招标文件未规定的采取随机抽取的方式确定一个中标候选人，其他同品牌投标人不作为中标候选人。</w:t>
      </w:r>
    </w:p>
    <w:p w14:paraId="1B1C090A">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非单一产品采购项目，招标文件中将载明其中的核心产品。多家投标人提供的核心产品品牌相同的，按前两款规定处理。</w:t>
      </w:r>
    </w:p>
    <w:p w14:paraId="0B9F5926">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26.8 投标人在开、评标全过程中应保持通讯畅通，并安排专人与代理机构及评委会联系。</w:t>
      </w:r>
    </w:p>
    <w:p w14:paraId="44BD3AD7">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27、无效投标、废标及投标人不足三家的处理</w:t>
      </w:r>
    </w:p>
    <w:p w14:paraId="1CABE26D">
      <w:pPr>
        <w:spacing w:line="360" w:lineRule="auto"/>
        <w:ind w:firstLine="420" w:firstLineChars="200"/>
        <w:jc w:val="left"/>
        <w:rPr>
          <w:rFonts w:ascii="宋体" w:hAnsi="宋体"/>
          <w:bCs/>
          <w:color w:val="auto"/>
          <w:szCs w:val="21"/>
          <w:highlight w:val="none"/>
        </w:rPr>
      </w:pPr>
      <w:r>
        <w:rPr>
          <w:rFonts w:ascii="宋体" w:hAnsi="宋体"/>
          <w:bCs/>
          <w:color w:val="auto"/>
          <w:szCs w:val="21"/>
          <w:highlight w:val="none"/>
        </w:rPr>
        <w:t>2</w:t>
      </w:r>
      <w:r>
        <w:rPr>
          <w:rFonts w:hint="eastAsia" w:ascii="宋体" w:hAnsi="宋体"/>
          <w:bCs/>
          <w:color w:val="auto"/>
          <w:szCs w:val="21"/>
          <w:highlight w:val="none"/>
        </w:rPr>
        <w:t>7</w:t>
      </w:r>
      <w:r>
        <w:rPr>
          <w:rFonts w:ascii="宋体" w:hAnsi="宋体"/>
          <w:bCs/>
          <w:color w:val="auto"/>
          <w:szCs w:val="21"/>
          <w:highlight w:val="none"/>
        </w:rPr>
        <w:t>.1无效投标条款</w:t>
      </w:r>
    </w:p>
    <w:p w14:paraId="567B5739">
      <w:pPr>
        <w:spacing w:line="360" w:lineRule="auto"/>
        <w:ind w:firstLine="420" w:firstLineChars="200"/>
        <w:jc w:val="left"/>
        <w:rPr>
          <w:rFonts w:ascii="宋体" w:hAnsi="宋体"/>
          <w:bCs/>
          <w:color w:val="auto"/>
          <w:szCs w:val="21"/>
          <w:highlight w:val="none"/>
        </w:rPr>
      </w:pPr>
      <w:r>
        <w:rPr>
          <w:rFonts w:ascii="宋体" w:hAnsi="宋体"/>
          <w:bCs/>
          <w:color w:val="auto"/>
          <w:szCs w:val="21"/>
          <w:highlight w:val="none"/>
        </w:rPr>
        <w:t>2</w:t>
      </w:r>
      <w:r>
        <w:rPr>
          <w:rFonts w:hint="eastAsia" w:ascii="宋体" w:hAnsi="宋体"/>
          <w:bCs/>
          <w:color w:val="auto"/>
          <w:szCs w:val="21"/>
          <w:highlight w:val="none"/>
        </w:rPr>
        <w:t>7</w:t>
      </w:r>
      <w:r>
        <w:rPr>
          <w:rFonts w:ascii="宋体" w:hAnsi="宋体"/>
          <w:bCs/>
          <w:color w:val="auto"/>
          <w:szCs w:val="21"/>
          <w:highlight w:val="none"/>
        </w:rPr>
        <w:t>.1.1未按要求交纳投标保证金的；</w:t>
      </w:r>
    </w:p>
    <w:p w14:paraId="7A426F55">
      <w:pPr>
        <w:spacing w:line="360" w:lineRule="auto"/>
        <w:ind w:firstLine="420" w:firstLineChars="200"/>
        <w:jc w:val="left"/>
        <w:rPr>
          <w:rFonts w:ascii="宋体" w:hAnsi="宋体"/>
          <w:bCs/>
          <w:color w:val="auto"/>
          <w:szCs w:val="21"/>
          <w:highlight w:val="none"/>
        </w:rPr>
      </w:pPr>
      <w:r>
        <w:rPr>
          <w:rFonts w:ascii="宋体" w:hAnsi="宋体"/>
          <w:bCs/>
          <w:color w:val="auto"/>
          <w:szCs w:val="21"/>
          <w:highlight w:val="none"/>
        </w:rPr>
        <w:t>2</w:t>
      </w:r>
      <w:r>
        <w:rPr>
          <w:rFonts w:hint="eastAsia" w:ascii="宋体" w:hAnsi="宋体"/>
          <w:bCs/>
          <w:color w:val="auto"/>
          <w:szCs w:val="21"/>
          <w:highlight w:val="none"/>
        </w:rPr>
        <w:t>7</w:t>
      </w:r>
      <w:r>
        <w:rPr>
          <w:rFonts w:ascii="宋体" w:hAnsi="宋体"/>
          <w:bCs/>
          <w:color w:val="auto"/>
          <w:szCs w:val="21"/>
          <w:highlight w:val="none"/>
        </w:rPr>
        <w:t>.1.2未按照招标文件规定要求密封、签署、盖章的；</w:t>
      </w:r>
    </w:p>
    <w:p w14:paraId="641D9C43">
      <w:pPr>
        <w:spacing w:line="360" w:lineRule="auto"/>
        <w:ind w:firstLine="420" w:firstLineChars="200"/>
        <w:jc w:val="left"/>
        <w:rPr>
          <w:rFonts w:ascii="宋体" w:hAnsi="宋体"/>
          <w:bCs/>
          <w:color w:val="auto"/>
          <w:szCs w:val="21"/>
          <w:highlight w:val="none"/>
        </w:rPr>
      </w:pPr>
      <w:r>
        <w:rPr>
          <w:rFonts w:ascii="宋体" w:hAnsi="宋体"/>
          <w:bCs/>
          <w:color w:val="auto"/>
          <w:szCs w:val="21"/>
          <w:highlight w:val="none"/>
        </w:rPr>
        <w:t>2</w:t>
      </w:r>
      <w:r>
        <w:rPr>
          <w:rFonts w:hint="eastAsia" w:ascii="宋体" w:hAnsi="宋体"/>
          <w:bCs/>
          <w:color w:val="auto"/>
          <w:szCs w:val="21"/>
          <w:highlight w:val="none"/>
        </w:rPr>
        <w:t>7</w:t>
      </w:r>
      <w:r>
        <w:rPr>
          <w:rFonts w:ascii="宋体" w:hAnsi="宋体"/>
          <w:bCs/>
          <w:color w:val="auto"/>
          <w:szCs w:val="21"/>
          <w:highlight w:val="none"/>
        </w:rPr>
        <w:t>.1.3投标人在报价时采用选择性报价；</w:t>
      </w:r>
    </w:p>
    <w:p w14:paraId="367490A3">
      <w:pPr>
        <w:spacing w:line="360" w:lineRule="auto"/>
        <w:ind w:firstLine="420" w:firstLineChars="200"/>
        <w:jc w:val="left"/>
        <w:rPr>
          <w:rFonts w:ascii="宋体" w:hAnsi="宋体"/>
          <w:bCs/>
          <w:color w:val="auto"/>
          <w:szCs w:val="21"/>
          <w:highlight w:val="none"/>
        </w:rPr>
      </w:pPr>
      <w:r>
        <w:rPr>
          <w:rFonts w:ascii="宋体" w:hAnsi="宋体"/>
          <w:bCs/>
          <w:color w:val="auto"/>
          <w:szCs w:val="21"/>
          <w:highlight w:val="none"/>
        </w:rPr>
        <w:t>2</w:t>
      </w:r>
      <w:r>
        <w:rPr>
          <w:rFonts w:hint="eastAsia" w:ascii="宋体" w:hAnsi="宋体"/>
          <w:bCs/>
          <w:color w:val="auto"/>
          <w:szCs w:val="21"/>
          <w:highlight w:val="none"/>
        </w:rPr>
        <w:t>7</w:t>
      </w:r>
      <w:r>
        <w:rPr>
          <w:rFonts w:ascii="宋体" w:hAnsi="宋体"/>
          <w:bCs/>
          <w:color w:val="auto"/>
          <w:szCs w:val="21"/>
          <w:highlight w:val="none"/>
        </w:rPr>
        <w:t>.1.4投标人不具备招标文件中规定资格要求的；</w:t>
      </w:r>
    </w:p>
    <w:p w14:paraId="2A3C4A17">
      <w:pPr>
        <w:spacing w:line="360" w:lineRule="auto"/>
        <w:ind w:firstLine="420" w:firstLineChars="200"/>
        <w:jc w:val="left"/>
        <w:rPr>
          <w:rFonts w:ascii="宋体" w:hAnsi="宋体"/>
          <w:bCs/>
          <w:color w:val="auto"/>
          <w:szCs w:val="21"/>
          <w:highlight w:val="none"/>
        </w:rPr>
      </w:pPr>
      <w:r>
        <w:rPr>
          <w:rFonts w:ascii="宋体" w:hAnsi="宋体"/>
          <w:bCs/>
          <w:color w:val="auto"/>
          <w:szCs w:val="21"/>
          <w:highlight w:val="none"/>
        </w:rPr>
        <w:t>2</w:t>
      </w:r>
      <w:r>
        <w:rPr>
          <w:rFonts w:hint="eastAsia" w:ascii="宋体" w:hAnsi="宋体"/>
          <w:bCs/>
          <w:color w:val="auto"/>
          <w:szCs w:val="21"/>
          <w:highlight w:val="none"/>
        </w:rPr>
        <w:t>7</w:t>
      </w:r>
      <w:r>
        <w:rPr>
          <w:rFonts w:ascii="宋体" w:hAnsi="宋体"/>
          <w:bCs/>
          <w:color w:val="auto"/>
          <w:szCs w:val="21"/>
          <w:highlight w:val="none"/>
        </w:rPr>
        <w:t>.1.5投标人的报价超过了采购预算或最高限价的；</w:t>
      </w:r>
    </w:p>
    <w:p w14:paraId="44DA59CB">
      <w:pPr>
        <w:spacing w:line="360" w:lineRule="auto"/>
        <w:ind w:firstLine="420" w:firstLineChars="200"/>
        <w:jc w:val="left"/>
        <w:rPr>
          <w:rFonts w:ascii="宋体" w:hAnsi="宋体"/>
          <w:bCs/>
          <w:color w:val="auto"/>
          <w:szCs w:val="21"/>
          <w:highlight w:val="none"/>
        </w:rPr>
      </w:pPr>
      <w:r>
        <w:rPr>
          <w:rFonts w:ascii="宋体" w:hAnsi="宋体"/>
          <w:bCs/>
          <w:color w:val="auto"/>
          <w:szCs w:val="21"/>
          <w:highlight w:val="none"/>
        </w:rPr>
        <w:t>2</w:t>
      </w:r>
      <w:r>
        <w:rPr>
          <w:rFonts w:hint="eastAsia" w:ascii="宋体" w:hAnsi="宋体"/>
          <w:bCs/>
          <w:color w:val="auto"/>
          <w:szCs w:val="21"/>
          <w:highlight w:val="none"/>
        </w:rPr>
        <w:t>7</w:t>
      </w:r>
      <w:r>
        <w:rPr>
          <w:rFonts w:ascii="宋体" w:hAnsi="宋体"/>
          <w:bCs/>
          <w:color w:val="auto"/>
          <w:szCs w:val="21"/>
          <w:highlight w:val="none"/>
        </w:rPr>
        <w:t>.1.6未通过符合性检查的；</w:t>
      </w:r>
    </w:p>
    <w:p w14:paraId="37C4FB07">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27.1.7不符合招标文件中规定的其他实质性要求和条件的（</w:t>
      </w:r>
      <w:r>
        <w:rPr>
          <w:rFonts w:hint="eastAsia" w:ascii="宋体" w:hAnsi="宋体"/>
          <w:bCs/>
          <w:i/>
          <w:iCs/>
          <w:color w:val="auto"/>
          <w:szCs w:val="21"/>
          <w:highlight w:val="none"/>
          <w:u w:val="single"/>
        </w:rPr>
        <w:t>本招标文件中斜体且有下划线部分为实质性要求和条件</w:t>
      </w:r>
      <w:r>
        <w:rPr>
          <w:rFonts w:hint="eastAsia" w:ascii="宋体" w:hAnsi="宋体"/>
          <w:bCs/>
          <w:color w:val="auto"/>
          <w:szCs w:val="21"/>
          <w:highlight w:val="none"/>
        </w:rPr>
        <w:t>）。</w:t>
      </w:r>
    </w:p>
    <w:p w14:paraId="3ABD0FEC">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27.1.8 投标人被 “信用中国”网站（www.creditchina.gov.cn）、“中国政府采购网"(www.ccgp.gov.cn)列入失信被执行人或重大税收违法案件当事人名单或政府采购严重失信行为记录名单。若接受联合体的项目，两个以上的自然人、法人或者其他组织组成一个联合体，以一个供应商的身份共同参加政府采购活动的，联合体成员存在不良信用记录的，视同联合体存在不良应用记录。</w:t>
      </w:r>
    </w:p>
    <w:p w14:paraId="4B5B3AE4">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27.1.9  投标文件含有采购人不能接受的附加条件的。</w:t>
      </w:r>
    </w:p>
    <w:p w14:paraId="4A60D1FB">
      <w:pPr>
        <w:spacing w:line="360" w:lineRule="auto"/>
        <w:ind w:firstLine="420" w:firstLineChars="200"/>
        <w:jc w:val="left"/>
        <w:rPr>
          <w:rFonts w:ascii="宋体" w:hAnsi="宋体"/>
          <w:bCs/>
          <w:color w:val="auto"/>
          <w:szCs w:val="21"/>
          <w:highlight w:val="none"/>
        </w:rPr>
      </w:pPr>
      <w:r>
        <w:rPr>
          <w:rFonts w:hint="eastAsia" w:ascii="宋体" w:hAnsi="宋体"/>
          <w:bCs/>
          <w:color w:val="auto"/>
          <w:szCs w:val="21"/>
          <w:highlight w:val="none"/>
        </w:rPr>
        <w:t xml:space="preserve">27.1.10 </w:t>
      </w:r>
      <w:r>
        <w:rPr>
          <w:rFonts w:ascii="宋体" w:hAnsi="宋体"/>
          <w:bCs/>
          <w:color w:val="auto"/>
          <w:szCs w:val="21"/>
          <w:highlight w:val="none"/>
        </w:rPr>
        <w:t>评标委员会认为投标人的报价明显低于其他通过符合性审查投标人的报价，有可能影响产品质量或者不能诚信履约的，要求其在评标现场合理的时间内提供书面说明，必要时提交相关证明材料；投标人不能证明其报价合理性的，评标委员会应当将其作为无效投标处理。</w:t>
      </w:r>
    </w:p>
    <w:p w14:paraId="17D827EB">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27.1.11 本项目采购产品被财政部、国家发改委、生态环境部等列入“节能产品品目清单”强制采购范围，而投标人所投标产品不在强制采购范围内的。</w:t>
      </w:r>
    </w:p>
    <w:p w14:paraId="7F10C45B">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27.1.12 投标文件未按照招标文件要求加盖公章。</w:t>
      </w:r>
    </w:p>
    <w:p w14:paraId="343F3195">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27.1.13其他法律、法规及本招标文件规定的属无效投标的情形。</w:t>
      </w:r>
    </w:p>
    <w:p w14:paraId="4F7BA4A4">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27.2废标条款：</w:t>
      </w:r>
    </w:p>
    <w:p w14:paraId="1E497EA7">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27.2.1符合专业条件的供应商或者对招标文件作实质响应的供应商不足三家的；</w:t>
      </w:r>
    </w:p>
    <w:p w14:paraId="1D776A28">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27.2.2投标人的报价均超过采购预算或最高限价；</w:t>
      </w:r>
    </w:p>
    <w:p w14:paraId="2FD95249">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27.2.3出现影响采购公正的违法、违规行为的；</w:t>
      </w:r>
    </w:p>
    <w:p w14:paraId="1511DB27">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27.2.4因重大变故，采购任务取消的；</w:t>
      </w:r>
    </w:p>
    <w:p w14:paraId="30D14487">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27.2.5评标委员会认定招标文件存在歧义、 重大缺陷导致评审工作无法进行。</w:t>
      </w:r>
    </w:p>
    <w:p w14:paraId="23F9C00C">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 xml:space="preserve">27.3投标截止时间结束后参加投标的投标人不足三家或者通过资格审查或符合性审查的投标人不足三家的，除采购任务取消情形外，按照以下方式处理： </w:t>
      </w:r>
    </w:p>
    <w:p w14:paraId="5E29C4C0">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27.3.1招标文件存在不合理条款或者招标程序不符合规定的，由采购人、代理机构改正后依法重新招标；</w:t>
      </w:r>
    </w:p>
    <w:p w14:paraId="248AA2A0">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27.3.2 招标文件没有不合理条款、招标程序符合规定，需要采用其他采购方式采购的，采购人应当依法报财政部门批准。</w:t>
      </w:r>
    </w:p>
    <w:p w14:paraId="308CF7FE">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28、确定中标单位</w:t>
      </w:r>
    </w:p>
    <w:p w14:paraId="5656440B">
      <w:pPr>
        <w:spacing w:line="360" w:lineRule="auto"/>
        <w:ind w:firstLine="420" w:firstLineChars="200"/>
        <w:rPr>
          <w:rFonts w:ascii="宋体" w:hAnsi="宋体"/>
          <w:bCs/>
          <w:color w:val="auto"/>
          <w:szCs w:val="21"/>
          <w:highlight w:val="none"/>
        </w:rPr>
      </w:pPr>
      <w:r>
        <w:rPr>
          <w:rFonts w:ascii="宋体" w:hAnsi="宋体"/>
          <w:bCs/>
          <w:color w:val="auto"/>
          <w:szCs w:val="21"/>
          <w:highlight w:val="none"/>
        </w:rPr>
        <w:t>2</w:t>
      </w:r>
      <w:r>
        <w:rPr>
          <w:rFonts w:hint="eastAsia" w:ascii="宋体" w:hAnsi="宋体"/>
          <w:bCs/>
          <w:color w:val="auto"/>
          <w:szCs w:val="21"/>
          <w:highlight w:val="none"/>
        </w:rPr>
        <w:t>8</w:t>
      </w:r>
      <w:r>
        <w:rPr>
          <w:rFonts w:ascii="宋体" w:hAnsi="宋体"/>
          <w:bCs/>
          <w:color w:val="auto"/>
          <w:szCs w:val="21"/>
          <w:highlight w:val="none"/>
        </w:rPr>
        <w:t>.1评委会根据本招标文件规定评标方法与评标标准向采购人推荐出中标候选人。</w:t>
      </w:r>
    </w:p>
    <w:p w14:paraId="42614AD1">
      <w:pPr>
        <w:spacing w:line="360" w:lineRule="auto"/>
        <w:ind w:firstLine="420" w:firstLineChars="200"/>
        <w:rPr>
          <w:rFonts w:ascii="宋体" w:hAnsi="宋体"/>
          <w:bCs/>
          <w:color w:val="auto"/>
          <w:szCs w:val="21"/>
          <w:highlight w:val="none"/>
        </w:rPr>
      </w:pPr>
      <w:r>
        <w:rPr>
          <w:rFonts w:ascii="宋体" w:hAnsi="宋体"/>
          <w:bCs/>
          <w:color w:val="auto"/>
          <w:szCs w:val="21"/>
          <w:highlight w:val="none"/>
        </w:rPr>
        <w:t>2</w:t>
      </w:r>
      <w:r>
        <w:rPr>
          <w:rFonts w:hint="eastAsia" w:ascii="宋体" w:hAnsi="宋体"/>
          <w:bCs/>
          <w:color w:val="auto"/>
          <w:szCs w:val="21"/>
          <w:highlight w:val="none"/>
        </w:rPr>
        <w:t>8</w:t>
      </w:r>
      <w:r>
        <w:rPr>
          <w:rFonts w:ascii="宋体" w:hAnsi="宋体"/>
          <w:bCs/>
          <w:color w:val="auto"/>
          <w:szCs w:val="21"/>
          <w:highlight w:val="none"/>
        </w:rPr>
        <w:t>.2 采购人应根据评委会推荐的中标候选人确定中标人。</w:t>
      </w:r>
    </w:p>
    <w:p w14:paraId="175FAC94">
      <w:pPr>
        <w:spacing w:line="360" w:lineRule="auto"/>
        <w:ind w:firstLine="420" w:firstLineChars="200"/>
        <w:rPr>
          <w:rFonts w:ascii="宋体" w:hAnsi="宋体"/>
          <w:color w:val="auto"/>
          <w:szCs w:val="21"/>
          <w:highlight w:val="none"/>
        </w:rPr>
      </w:pPr>
      <w:r>
        <w:rPr>
          <w:rFonts w:ascii="宋体" w:hAnsi="宋体"/>
          <w:bCs/>
          <w:color w:val="auto"/>
          <w:szCs w:val="21"/>
          <w:highlight w:val="none"/>
        </w:rPr>
        <w:t>2</w:t>
      </w:r>
      <w:r>
        <w:rPr>
          <w:rFonts w:hint="eastAsia" w:ascii="宋体" w:hAnsi="宋体"/>
          <w:bCs/>
          <w:color w:val="auto"/>
          <w:szCs w:val="21"/>
          <w:highlight w:val="none"/>
        </w:rPr>
        <w:t>8</w:t>
      </w:r>
      <w:r>
        <w:rPr>
          <w:rFonts w:ascii="宋体" w:hAnsi="宋体"/>
          <w:bCs/>
          <w:color w:val="auto"/>
          <w:szCs w:val="21"/>
          <w:highlight w:val="none"/>
        </w:rPr>
        <w:t>.3</w:t>
      </w:r>
      <w:r>
        <w:rPr>
          <w:rFonts w:ascii="宋体" w:hAnsi="宋体"/>
          <w:color w:val="auto"/>
          <w:szCs w:val="21"/>
          <w:highlight w:val="none"/>
        </w:rPr>
        <w:t>代理机构将在</w:t>
      </w:r>
      <w:r>
        <w:rPr>
          <w:rFonts w:hint="eastAsia" w:ascii="宋体" w:hAnsi="宋体" w:cs="宋体"/>
          <w:bCs/>
          <w:color w:val="auto"/>
          <w:highlight w:val="none"/>
        </w:rPr>
        <w:t>“中国政府采购网”、“江苏省政府采购网”、“江苏省复员退伍军人精神病医院官网”</w:t>
      </w:r>
      <w:r>
        <w:rPr>
          <w:rFonts w:ascii="宋体" w:hAnsi="宋体"/>
          <w:color w:val="auto"/>
          <w:szCs w:val="21"/>
          <w:highlight w:val="none"/>
        </w:rPr>
        <w:t>发布中标公告，公告期限为1个工作日。</w:t>
      </w:r>
    </w:p>
    <w:p w14:paraId="4463B9D0">
      <w:pPr>
        <w:spacing w:line="360" w:lineRule="auto"/>
        <w:ind w:firstLine="420" w:firstLineChars="200"/>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8</w:t>
      </w:r>
      <w:r>
        <w:rPr>
          <w:rFonts w:ascii="宋体" w:hAnsi="宋体"/>
          <w:color w:val="auto"/>
          <w:szCs w:val="21"/>
          <w:highlight w:val="none"/>
        </w:rPr>
        <w:t>.4若有充分证据证明，中标人出现下列情况之一的，一经查实，将被取消中标资格：</w:t>
      </w:r>
    </w:p>
    <w:p w14:paraId="427164C1">
      <w:pPr>
        <w:spacing w:line="360" w:lineRule="auto"/>
        <w:ind w:firstLine="420" w:firstLineChars="200"/>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8</w:t>
      </w:r>
      <w:r>
        <w:rPr>
          <w:rFonts w:ascii="宋体" w:hAnsi="宋体"/>
          <w:color w:val="auto"/>
          <w:szCs w:val="21"/>
          <w:highlight w:val="none"/>
        </w:rPr>
        <w:t>.4.1提供虚假材料谋取中标的；</w:t>
      </w:r>
    </w:p>
    <w:p w14:paraId="4877332F">
      <w:pPr>
        <w:spacing w:line="360" w:lineRule="auto"/>
        <w:ind w:firstLine="420" w:firstLineChars="200"/>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8</w:t>
      </w:r>
      <w:r>
        <w:rPr>
          <w:rFonts w:ascii="宋体" w:hAnsi="宋体"/>
          <w:color w:val="auto"/>
          <w:szCs w:val="21"/>
          <w:highlight w:val="none"/>
        </w:rPr>
        <w:t>.4.2向采购人、代理机构行贿或者提供其他不正当利益的；</w:t>
      </w:r>
    </w:p>
    <w:p w14:paraId="218686EA">
      <w:pPr>
        <w:spacing w:line="360" w:lineRule="auto"/>
        <w:ind w:firstLine="420" w:firstLineChars="200"/>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8</w:t>
      </w:r>
      <w:r>
        <w:rPr>
          <w:rFonts w:ascii="宋体" w:hAnsi="宋体"/>
          <w:color w:val="auto"/>
          <w:szCs w:val="21"/>
          <w:highlight w:val="none"/>
        </w:rPr>
        <w:t>.4.3恶意竞争，投标总报价明显低于其自身合理成本且又无法提供证明的；</w:t>
      </w:r>
    </w:p>
    <w:p w14:paraId="5E843164">
      <w:pPr>
        <w:spacing w:line="360" w:lineRule="auto"/>
        <w:ind w:firstLine="420" w:firstLineChars="200"/>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8</w:t>
      </w:r>
      <w:r>
        <w:rPr>
          <w:rFonts w:ascii="宋体" w:hAnsi="宋体"/>
          <w:color w:val="auto"/>
          <w:szCs w:val="21"/>
          <w:highlight w:val="none"/>
        </w:rPr>
        <w:t>.4.4属于本文件规定的无效条件，但在评标过程中又未被评委会发现的；</w:t>
      </w:r>
    </w:p>
    <w:p w14:paraId="22493A75">
      <w:pPr>
        <w:spacing w:line="360" w:lineRule="auto"/>
        <w:ind w:firstLine="420" w:firstLineChars="200"/>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8</w:t>
      </w:r>
      <w:r>
        <w:rPr>
          <w:rFonts w:ascii="宋体" w:hAnsi="宋体"/>
          <w:color w:val="auto"/>
          <w:szCs w:val="21"/>
          <w:highlight w:val="none"/>
        </w:rPr>
        <w:t>.4.5与采购人或者其他投标人串通投标的；</w:t>
      </w:r>
    </w:p>
    <w:p w14:paraId="6721DD0D">
      <w:pPr>
        <w:spacing w:line="360" w:lineRule="auto"/>
        <w:ind w:firstLine="420" w:firstLineChars="200"/>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8</w:t>
      </w:r>
      <w:r>
        <w:rPr>
          <w:rFonts w:ascii="宋体" w:hAnsi="宋体"/>
          <w:color w:val="auto"/>
          <w:szCs w:val="21"/>
          <w:highlight w:val="none"/>
        </w:rPr>
        <w:t>.4.6采取不正当手段诋毁、排挤其他供应商的；</w:t>
      </w:r>
    </w:p>
    <w:p w14:paraId="0CD6EAF9">
      <w:pPr>
        <w:spacing w:line="360" w:lineRule="auto"/>
        <w:ind w:firstLine="420" w:firstLineChars="200"/>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8</w:t>
      </w:r>
      <w:r>
        <w:rPr>
          <w:rFonts w:ascii="宋体" w:hAnsi="宋体"/>
          <w:color w:val="auto"/>
          <w:szCs w:val="21"/>
          <w:highlight w:val="none"/>
        </w:rPr>
        <w:t>.4.7不符合法律、法规的规定的。</w:t>
      </w:r>
      <w:bookmarkStart w:id="57" w:name="_Toc200451960"/>
    </w:p>
    <w:p w14:paraId="6E390ABC">
      <w:pPr>
        <w:spacing w:line="360" w:lineRule="auto"/>
        <w:ind w:firstLine="420" w:firstLineChars="200"/>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8</w:t>
      </w:r>
      <w:r>
        <w:rPr>
          <w:rFonts w:ascii="宋体" w:hAnsi="宋体"/>
          <w:color w:val="auto"/>
          <w:szCs w:val="21"/>
          <w:highlight w:val="none"/>
        </w:rPr>
        <w:t>.5. 有下列情形之一的，视为投标人串通投标，投标无效：</w:t>
      </w:r>
    </w:p>
    <w:p w14:paraId="03959F3D">
      <w:pPr>
        <w:spacing w:line="360" w:lineRule="auto"/>
        <w:ind w:firstLine="420" w:firstLineChars="200"/>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8</w:t>
      </w:r>
      <w:r>
        <w:rPr>
          <w:rFonts w:ascii="宋体" w:hAnsi="宋体"/>
          <w:color w:val="auto"/>
          <w:szCs w:val="21"/>
          <w:highlight w:val="none"/>
        </w:rPr>
        <w:t>.5.1不同投标人的投标文件由同一单位或者个人编制。</w:t>
      </w:r>
    </w:p>
    <w:p w14:paraId="2D1AD299">
      <w:pPr>
        <w:spacing w:line="360" w:lineRule="auto"/>
        <w:ind w:firstLine="420" w:firstLineChars="200"/>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8</w:t>
      </w:r>
      <w:r>
        <w:rPr>
          <w:rFonts w:ascii="宋体" w:hAnsi="宋体"/>
          <w:color w:val="auto"/>
          <w:szCs w:val="21"/>
          <w:highlight w:val="none"/>
        </w:rPr>
        <w:t>.5.2不同投标人委托同一单位或者个人办理投标事宜。</w:t>
      </w:r>
    </w:p>
    <w:p w14:paraId="3294220C">
      <w:pPr>
        <w:spacing w:line="360" w:lineRule="auto"/>
        <w:ind w:firstLine="420" w:firstLineChars="200"/>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8</w:t>
      </w:r>
      <w:r>
        <w:rPr>
          <w:rFonts w:ascii="宋体" w:hAnsi="宋体"/>
          <w:color w:val="auto"/>
          <w:szCs w:val="21"/>
          <w:highlight w:val="none"/>
        </w:rPr>
        <w:t>.5.3 不同投标人的投标文件载明的项目管理成员或者联系人员为同一人。</w:t>
      </w:r>
    </w:p>
    <w:p w14:paraId="24B4BD33">
      <w:pPr>
        <w:spacing w:line="360" w:lineRule="auto"/>
        <w:ind w:firstLine="420" w:firstLineChars="200"/>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8</w:t>
      </w:r>
      <w:r>
        <w:rPr>
          <w:rFonts w:ascii="宋体" w:hAnsi="宋体"/>
          <w:color w:val="auto"/>
          <w:szCs w:val="21"/>
          <w:highlight w:val="none"/>
        </w:rPr>
        <w:t>.5.4不同投标人的投标文件异常一致或者投标报价呈规律性差异。</w:t>
      </w:r>
    </w:p>
    <w:p w14:paraId="634148BD">
      <w:pPr>
        <w:spacing w:line="360" w:lineRule="auto"/>
        <w:ind w:firstLine="420" w:firstLineChars="200"/>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8</w:t>
      </w:r>
      <w:r>
        <w:rPr>
          <w:rFonts w:ascii="宋体" w:hAnsi="宋体"/>
          <w:color w:val="auto"/>
          <w:szCs w:val="21"/>
          <w:highlight w:val="none"/>
        </w:rPr>
        <w:t>.5.5不同投标人的投标文件相互混装。</w:t>
      </w:r>
    </w:p>
    <w:p w14:paraId="15787D7F">
      <w:pPr>
        <w:spacing w:line="360" w:lineRule="auto"/>
        <w:ind w:firstLine="420" w:firstLineChars="200"/>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8</w:t>
      </w:r>
      <w:r>
        <w:rPr>
          <w:rFonts w:ascii="宋体" w:hAnsi="宋体"/>
          <w:color w:val="auto"/>
          <w:szCs w:val="21"/>
          <w:highlight w:val="none"/>
        </w:rPr>
        <w:t>.5.6不同投标人的投标保证金从同一单位或者个人的账户转出。</w:t>
      </w:r>
    </w:p>
    <w:bookmarkEnd w:id="57"/>
    <w:p w14:paraId="6FDAD6A3">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29、质疑处理</w:t>
      </w:r>
    </w:p>
    <w:p w14:paraId="4EE87FFA">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29</w:t>
      </w:r>
      <w:r>
        <w:rPr>
          <w:rFonts w:ascii="宋体" w:hAnsi="宋体"/>
          <w:color w:val="auto"/>
          <w:szCs w:val="21"/>
          <w:highlight w:val="none"/>
        </w:rPr>
        <w:t>.1投标人认为采购文件、采购过程和中标或成交结果使自己的权益受到损害的，可以在知道或应知其权益受到损害之日起七个工作日内，以书面形式向采购人或代理机构提出质疑。</w:t>
      </w:r>
    </w:p>
    <w:p w14:paraId="2774844C">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29</w:t>
      </w:r>
      <w:r>
        <w:rPr>
          <w:rFonts w:ascii="宋体" w:hAnsi="宋体"/>
          <w:color w:val="auto"/>
          <w:szCs w:val="21"/>
          <w:highlight w:val="none"/>
        </w:rPr>
        <w:t>.1.1对采购文件提出质疑的，应当在获取采购文件之日或者采购文件公告期限届满之日起7个工作日内提出。</w:t>
      </w:r>
    </w:p>
    <w:p w14:paraId="0B210CEC">
      <w:pPr>
        <w:spacing w:line="360" w:lineRule="auto"/>
        <w:rPr>
          <w:rFonts w:ascii="宋体" w:hAnsi="宋体"/>
          <w:color w:val="auto"/>
          <w:szCs w:val="21"/>
          <w:highlight w:val="none"/>
        </w:rPr>
      </w:pPr>
      <w:r>
        <w:rPr>
          <w:rFonts w:ascii="宋体" w:hAnsi="宋体"/>
          <w:color w:val="auto"/>
          <w:szCs w:val="21"/>
          <w:highlight w:val="none"/>
        </w:rPr>
        <w:t>　　</w:t>
      </w:r>
      <w:r>
        <w:rPr>
          <w:rFonts w:hint="eastAsia" w:ascii="宋体" w:hAnsi="宋体"/>
          <w:color w:val="auto"/>
          <w:szCs w:val="21"/>
          <w:highlight w:val="none"/>
        </w:rPr>
        <w:t>29</w:t>
      </w:r>
      <w:r>
        <w:rPr>
          <w:rFonts w:ascii="宋体" w:hAnsi="宋体"/>
          <w:color w:val="auto"/>
          <w:szCs w:val="21"/>
          <w:highlight w:val="none"/>
        </w:rPr>
        <w:t>.1.2对采购过程提出质疑的，为各采购程序环节结束之日起7个工作日内提出。</w:t>
      </w:r>
    </w:p>
    <w:p w14:paraId="27D31FD1">
      <w:pPr>
        <w:spacing w:line="360" w:lineRule="auto"/>
        <w:rPr>
          <w:rFonts w:ascii="宋体" w:hAnsi="宋体"/>
          <w:color w:val="auto"/>
          <w:szCs w:val="21"/>
          <w:highlight w:val="none"/>
        </w:rPr>
      </w:pPr>
      <w:r>
        <w:rPr>
          <w:rFonts w:ascii="宋体" w:hAnsi="宋体"/>
          <w:color w:val="auto"/>
          <w:szCs w:val="21"/>
          <w:highlight w:val="none"/>
        </w:rPr>
        <w:t>　　</w:t>
      </w:r>
      <w:r>
        <w:rPr>
          <w:rFonts w:hint="eastAsia" w:ascii="宋体" w:hAnsi="宋体"/>
          <w:color w:val="auto"/>
          <w:szCs w:val="21"/>
          <w:highlight w:val="none"/>
        </w:rPr>
        <w:t>29</w:t>
      </w:r>
      <w:r>
        <w:rPr>
          <w:rFonts w:ascii="宋体" w:hAnsi="宋体"/>
          <w:color w:val="auto"/>
          <w:szCs w:val="21"/>
          <w:highlight w:val="none"/>
        </w:rPr>
        <w:t>.1.3对中标结果提出质疑的，为中标结果公告期限届满之日起7个工作日内提出。</w:t>
      </w:r>
    </w:p>
    <w:p w14:paraId="25FE17DC">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29</w:t>
      </w:r>
      <w:r>
        <w:rPr>
          <w:rFonts w:ascii="宋体" w:hAnsi="宋体"/>
          <w:color w:val="auto"/>
          <w:szCs w:val="21"/>
          <w:highlight w:val="none"/>
        </w:rPr>
        <w:t>.2供应商应在法定质疑期内一次性提出针对同一采购程序环节的质疑。质疑必须按《政府采购法》《政府采购法实施条例》及《政府采购质疑和投诉办法》等相关规定提交。</w:t>
      </w:r>
    </w:p>
    <w:p w14:paraId="46F30FD3">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29</w:t>
      </w:r>
      <w:r>
        <w:rPr>
          <w:rFonts w:ascii="宋体" w:hAnsi="宋体"/>
          <w:color w:val="auto"/>
          <w:szCs w:val="21"/>
          <w:highlight w:val="none"/>
        </w:rPr>
        <w:t>.3提出质疑的供应商（以下简称质疑供应商）应当是参与所质疑项目采购活动的供应商。</w:t>
      </w:r>
    </w:p>
    <w:p w14:paraId="34CB74E0">
      <w:pPr>
        <w:spacing w:line="360" w:lineRule="auto"/>
        <w:ind w:firstLine="420" w:firstLineChars="200"/>
        <w:rPr>
          <w:rFonts w:ascii="宋体" w:hAnsi="宋体"/>
          <w:color w:val="auto"/>
          <w:szCs w:val="21"/>
          <w:highlight w:val="none"/>
        </w:rPr>
      </w:pPr>
      <w:r>
        <w:rPr>
          <w:rFonts w:ascii="宋体" w:hAnsi="宋体"/>
          <w:color w:val="auto"/>
          <w:szCs w:val="21"/>
          <w:highlight w:val="none"/>
        </w:rPr>
        <w:t>潜在供应商已依法获取其可质疑的采购文件的，可以对该文件提出质疑。对采购文件提出质疑的，应当在获取采购文件或者采购文件公告期限届满之日起7个工作日内提出。</w:t>
      </w:r>
    </w:p>
    <w:p w14:paraId="4F11990F">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29</w:t>
      </w:r>
      <w:r>
        <w:rPr>
          <w:rFonts w:ascii="宋体" w:hAnsi="宋体"/>
          <w:color w:val="auto"/>
          <w:szCs w:val="21"/>
          <w:highlight w:val="none"/>
        </w:rPr>
        <w:t>.4供应商提出质疑应当提交质疑函和必要的证明材料。质疑函应当包括下列内容：</w:t>
      </w:r>
    </w:p>
    <w:p w14:paraId="35A8E5FD">
      <w:pPr>
        <w:spacing w:line="360" w:lineRule="auto"/>
        <w:rPr>
          <w:rFonts w:ascii="宋体" w:hAnsi="宋体"/>
          <w:color w:val="auto"/>
          <w:szCs w:val="21"/>
          <w:highlight w:val="none"/>
        </w:rPr>
      </w:pPr>
      <w:r>
        <w:rPr>
          <w:rFonts w:ascii="宋体" w:hAnsi="宋体"/>
          <w:color w:val="auto"/>
          <w:szCs w:val="21"/>
          <w:highlight w:val="none"/>
        </w:rPr>
        <w:t>　　</w:t>
      </w:r>
      <w:r>
        <w:rPr>
          <w:rFonts w:hint="eastAsia" w:ascii="宋体" w:hAnsi="宋体"/>
          <w:color w:val="auto"/>
          <w:szCs w:val="21"/>
          <w:highlight w:val="none"/>
        </w:rPr>
        <w:t>29</w:t>
      </w:r>
      <w:r>
        <w:rPr>
          <w:rFonts w:ascii="宋体" w:hAnsi="宋体"/>
          <w:color w:val="auto"/>
          <w:szCs w:val="21"/>
          <w:highlight w:val="none"/>
        </w:rPr>
        <w:t>.4.1供应商的姓名或者名称、地址、邮编、联系人及联系电话；</w:t>
      </w:r>
    </w:p>
    <w:p w14:paraId="7DB552C2">
      <w:pPr>
        <w:spacing w:line="360" w:lineRule="auto"/>
        <w:rPr>
          <w:rFonts w:ascii="宋体" w:hAnsi="宋体"/>
          <w:color w:val="auto"/>
          <w:szCs w:val="21"/>
          <w:highlight w:val="none"/>
        </w:rPr>
      </w:pPr>
      <w:r>
        <w:rPr>
          <w:rFonts w:ascii="宋体" w:hAnsi="宋体"/>
          <w:color w:val="auto"/>
          <w:szCs w:val="21"/>
          <w:highlight w:val="none"/>
        </w:rPr>
        <w:t>　　</w:t>
      </w:r>
      <w:r>
        <w:rPr>
          <w:rFonts w:hint="eastAsia" w:ascii="宋体" w:hAnsi="宋体"/>
          <w:color w:val="auto"/>
          <w:szCs w:val="21"/>
          <w:highlight w:val="none"/>
        </w:rPr>
        <w:t>29</w:t>
      </w:r>
      <w:r>
        <w:rPr>
          <w:rFonts w:ascii="宋体" w:hAnsi="宋体"/>
          <w:color w:val="auto"/>
          <w:szCs w:val="21"/>
          <w:highlight w:val="none"/>
        </w:rPr>
        <w:t>.4.2质疑项目的名称、编号；</w:t>
      </w:r>
    </w:p>
    <w:p w14:paraId="3D3DFBA1">
      <w:pPr>
        <w:spacing w:line="360" w:lineRule="auto"/>
        <w:rPr>
          <w:rFonts w:ascii="宋体" w:hAnsi="宋体"/>
          <w:color w:val="auto"/>
          <w:szCs w:val="21"/>
          <w:highlight w:val="none"/>
        </w:rPr>
      </w:pPr>
      <w:r>
        <w:rPr>
          <w:rFonts w:ascii="宋体" w:hAnsi="宋体"/>
          <w:color w:val="auto"/>
          <w:szCs w:val="21"/>
          <w:highlight w:val="none"/>
        </w:rPr>
        <w:t>　　</w:t>
      </w:r>
      <w:r>
        <w:rPr>
          <w:rFonts w:hint="eastAsia" w:ascii="宋体" w:hAnsi="宋体"/>
          <w:color w:val="auto"/>
          <w:szCs w:val="21"/>
          <w:highlight w:val="none"/>
        </w:rPr>
        <w:t>29</w:t>
      </w:r>
      <w:r>
        <w:rPr>
          <w:rFonts w:ascii="宋体" w:hAnsi="宋体"/>
          <w:color w:val="auto"/>
          <w:szCs w:val="21"/>
          <w:highlight w:val="none"/>
        </w:rPr>
        <w:t>.4.3具体、明确的质疑事项和与质疑事项相关的请求；</w:t>
      </w:r>
    </w:p>
    <w:p w14:paraId="2938A5DC">
      <w:pPr>
        <w:spacing w:line="360" w:lineRule="auto"/>
        <w:rPr>
          <w:rFonts w:ascii="宋体" w:hAnsi="宋体"/>
          <w:color w:val="auto"/>
          <w:szCs w:val="21"/>
          <w:highlight w:val="none"/>
        </w:rPr>
      </w:pPr>
      <w:r>
        <w:rPr>
          <w:rFonts w:ascii="宋体" w:hAnsi="宋体"/>
          <w:color w:val="auto"/>
          <w:szCs w:val="21"/>
          <w:highlight w:val="none"/>
        </w:rPr>
        <w:t>　　</w:t>
      </w:r>
      <w:r>
        <w:rPr>
          <w:rFonts w:hint="eastAsia" w:ascii="宋体" w:hAnsi="宋体"/>
          <w:color w:val="auto"/>
          <w:szCs w:val="21"/>
          <w:highlight w:val="none"/>
        </w:rPr>
        <w:t>29</w:t>
      </w:r>
      <w:r>
        <w:rPr>
          <w:rFonts w:ascii="宋体" w:hAnsi="宋体"/>
          <w:color w:val="auto"/>
          <w:szCs w:val="21"/>
          <w:highlight w:val="none"/>
        </w:rPr>
        <w:t>.4.4事实依据；</w:t>
      </w:r>
    </w:p>
    <w:p w14:paraId="1CB3F455">
      <w:pPr>
        <w:spacing w:line="360" w:lineRule="auto"/>
        <w:rPr>
          <w:rFonts w:ascii="宋体" w:hAnsi="宋体"/>
          <w:color w:val="auto"/>
          <w:szCs w:val="21"/>
          <w:highlight w:val="none"/>
        </w:rPr>
      </w:pPr>
      <w:r>
        <w:rPr>
          <w:rFonts w:ascii="宋体" w:hAnsi="宋体"/>
          <w:color w:val="auto"/>
          <w:szCs w:val="21"/>
          <w:highlight w:val="none"/>
        </w:rPr>
        <w:t>　　</w:t>
      </w:r>
      <w:r>
        <w:rPr>
          <w:rFonts w:hint="eastAsia" w:ascii="宋体" w:hAnsi="宋体"/>
          <w:color w:val="auto"/>
          <w:szCs w:val="21"/>
          <w:highlight w:val="none"/>
        </w:rPr>
        <w:t>29</w:t>
      </w:r>
      <w:r>
        <w:rPr>
          <w:rFonts w:ascii="宋体" w:hAnsi="宋体"/>
          <w:color w:val="auto"/>
          <w:szCs w:val="21"/>
          <w:highlight w:val="none"/>
        </w:rPr>
        <w:t>.4.5必要的法律依据；</w:t>
      </w:r>
    </w:p>
    <w:p w14:paraId="0CE36016">
      <w:pPr>
        <w:spacing w:line="360" w:lineRule="auto"/>
        <w:rPr>
          <w:rFonts w:ascii="宋体" w:hAnsi="宋体"/>
          <w:color w:val="auto"/>
          <w:szCs w:val="21"/>
          <w:highlight w:val="none"/>
        </w:rPr>
      </w:pPr>
      <w:r>
        <w:rPr>
          <w:rFonts w:ascii="宋体" w:hAnsi="宋体"/>
          <w:color w:val="auto"/>
          <w:szCs w:val="21"/>
          <w:highlight w:val="none"/>
        </w:rPr>
        <w:t>　　</w:t>
      </w:r>
      <w:r>
        <w:rPr>
          <w:rFonts w:hint="eastAsia" w:ascii="宋体" w:hAnsi="宋体"/>
          <w:color w:val="auto"/>
          <w:szCs w:val="21"/>
          <w:highlight w:val="none"/>
        </w:rPr>
        <w:t>29</w:t>
      </w:r>
      <w:r>
        <w:rPr>
          <w:rFonts w:ascii="宋体" w:hAnsi="宋体"/>
          <w:color w:val="auto"/>
          <w:szCs w:val="21"/>
          <w:highlight w:val="none"/>
        </w:rPr>
        <w:t>.4.6提出质疑的日期。</w:t>
      </w:r>
    </w:p>
    <w:p w14:paraId="78807C2F">
      <w:pPr>
        <w:spacing w:line="360" w:lineRule="auto"/>
        <w:ind w:firstLine="420" w:firstLineChars="200"/>
        <w:rPr>
          <w:rFonts w:ascii="宋体" w:hAnsi="宋体"/>
          <w:color w:val="auto"/>
          <w:szCs w:val="21"/>
          <w:highlight w:val="none"/>
        </w:rPr>
      </w:pPr>
      <w:r>
        <w:rPr>
          <w:rFonts w:ascii="宋体" w:hAnsi="宋体"/>
          <w:color w:val="auto"/>
          <w:szCs w:val="21"/>
          <w:highlight w:val="none"/>
        </w:rPr>
        <w:t>供应商为自然人的，应当由本人签字；供应商为法人或者其他组织的，应当由法定代表人、主要负责人，或者其授权代表签字或者盖章，并加盖公章。</w:t>
      </w:r>
    </w:p>
    <w:p w14:paraId="321097A8">
      <w:pPr>
        <w:spacing w:line="360" w:lineRule="auto"/>
        <w:ind w:firstLine="420" w:firstLineChars="200"/>
        <w:rPr>
          <w:rFonts w:ascii="宋体" w:hAnsi="宋体"/>
          <w:color w:val="auto"/>
          <w:szCs w:val="21"/>
          <w:highlight w:val="none"/>
        </w:rPr>
      </w:pPr>
      <w:r>
        <w:rPr>
          <w:rFonts w:ascii="宋体" w:hAnsi="宋体"/>
          <w:color w:val="auto"/>
          <w:szCs w:val="21"/>
          <w:highlight w:val="none"/>
        </w:rPr>
        <w:t>《质疑函》及《授权委托书》格式见网址：http://zfcg.yangzhou.gov.cn</w:t>
      </w:r>
    </w:p>
    <w:p w14:paraId="33B19127">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29</w:t>
      </w:r>
      <w:r>
        <w:rPr>
          <w:rFonts w:ascii="宋体" w:hAnsi="宋体"/>
          <w:color w:val="auto"/>
          <w:szCs w:val="21"/>
          <w:highlight w:val="none"/>
        </w:rPr>
        <w:t>.5代理机构收到质疑申请后，将对质疑的形式和内容进行审查，如质疑内容、格式不符合规定，代理机构将告知质疑人进行补正。</w:t>
      </w:r>
    </w:p>
    <w:p w14:paraId="1628284D">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29</w:t>
      </w:r>
      <w:r>
        <w:rPr>
          <w:rFonts w:ascii="宋体" w:hAnsi="宋体"/>
          <w:color w:val="auto"/>
          <w:szCs w:val="21"/>
          <w:highlight w:val="none"/>
        </w:rPr>
        <w:t>.6质疑人应当在法定质疑期限内进行补正并重新提交质疑函。</w:t>
      </w:r>
    </w:p>
    <w:p w14:paraId="47043209">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29</w:t>
      </w:r>
      <w:r>
        <w:rPr>
          <w:rFonts w:ascii="宋体" w:hAnsi="宋体"/>
          <w:color w:val="auto"/>
          <w:szCs w:val="21"/>
          <w:highlight w:val="none"/>
        </w:rPr>
        <w:t>.7代理机构应当在收到供应商的书面质疑后七个工作日内作出答复，并以书面形式通知质疑供应商和其他有关供应商，但答复的内容不得涉及商业秘密。</w:t>
      </w:r>
    </w:p>
    <w:p w14:paraId="3EA1BBBF">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29</w:t>
      </w:r>
      <w:r>
        <w:rPr>
          <w:rFonts w:ascii="宋体" w:hAnsi="宋体"/>
          <w:color w:val="auto"/>
          <w:szCs w:val="21"/>
          <w:highlight w:val="none"/>
        </w:rPr>
        <w:t>.8 诚实信用</w:t>
      </w:r>
    </w:p>
    <w:p w14:paraId="4F6C299D">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29</w:t>
      </w:r>
      <w:r>
        <w:rPr>
          <w:rFonts w:ascii="宋体" w:hAnsi="宋体"/>
          <w:color w:val="auto"/>
          <w:szCs w:val="21"/>
          <w:highlight w:val="none"/>
        </w:rPr>
        <w:t>.8.1 投标人之间不得相互串通投标报价，不得妨碍其他投标人的公平竞争，不得损害采购人和其他投标人的合法权益。</w:t>
      </w:r>
    </w:p>
    <w:p w14:paraId="489BF159">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29</w:t>
      </w:r>
      <w:r>
        <w:rPr>
          <w:rFonts w:ascii="宋体" w:hAnsi="宋体"/>
          <w:color w:val="auto"/>
          <w:szCs w:val="21"/>
          <w:highlight w:val="none"/>
        </w:rPr>
        <w:t>.8.2 投标人不得以向代理机构工作人员、评标委员会成员行贿或者采取其他不正当手段谋取中标。经查实投标人有此行为的，政府采购管理部门将投标人列入不良行为记录名单，按照《政府采购法》有关规定处理。</w:t>
      </w:r>
    </w:p>
    <w:p w14:paraId="27B51FDB">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29</w:t>
      </w:r>
      <w:r>
        <w:rPr>
          <w:rFonts w:ascii="宋体" w:hAnsi="宋体"/>
          <w:color w:val="auto"/>
          <w:szCs w:val="21"/>
          <w:highlight w:val="none"/>
        </w:rPr>
        <w:t>.8.3 投标人提出书面质疑必须有理、有据，不得虚假质疑和恶意质疑，并对质疑内容的真实性承担责任。一经查实，代理机构有权依据政府采购的有关规定，报请政府采购监管部门对该投标人进行相应的行政处罚并在网站上予以公示。如果投标人或者其他利害关系人通过捏造事实、伪造证明材料等方式提出质疑，干扰政府采购活动正常进行的，属于严重不良行为，代理机构将提请政府采购监管部门将其列入不良行为记录名单，并依法予以处罚。</w:t>
      </w:r>
    </w:p>
    <w:p w14:paraId="222797E5">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29</w:t>
      </w:r>
      <w:r>
        <w:rPr>
          <w:rFonts w:ascii="宋体" w:hAnsi="宋体"/>
          <w:color w:val="auto"/>
          <w:szCs w:val="21"/>
          <w:highlight w:val="none"/>
        </w:rPr>
        <w:t>.8.4 投标人不得虚假承诺，否则，按照提供虚假材料谋取中标成交处理。</w:t>
      </w:r>
    </w:p>
    <w:p w14:paraId="63EAFB49">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29</w:t>
      </w:r>
      <w:r>
        <w:rPr>
          <w:rFonts w:ascii="宋体" w:hAnsi="宋体"/>
          <w:color w:val="auto"/>
          <w:szCs w:val="21"/>
          <w:highlight w:val="none"/>
        </w:rPr>
        <w:t>.8</w:t>
      </w:r>
      <w:r>
        <w:rPr>
          <w:rFonts w:hint="eastAsia" w:ascii="宋体" w:hAnsi="宋体"/>
          <w:color w:val="auto"/>
          <w:szCs w:val="21"/>
          <w:highlight w:val="none"/>
        </w:rPr>
        <w:t>.</w:t>
      </w:r>
      <w:r>
        <w:rPr>
          <w:rFonts w:ascii="宋体" w:hAnsi="宋体"/>
          <w:color w:val="auto"/>
          <w:szCs w:val="21"/>
          <w:highlight w:val="none"/>
        </w:rPr>
        <w:t>5 投标人应自觉遵守开标、评标纪律，扰乱开标评标现场秩序的，属于失信行为，根据《江苏省政府采购供应商监督管理暂行办法》，失信行为将被记入投标人诚信档案。</w:t>
      </w:r>
    </w:p>
    <w:p w14:paraId="737EFB73">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30、中标通知书</w:t>
      </w:r>
    </w:p>
    <w:p w14:paraId="3C4FFFDF">
      <w:pPr>
        <w:spacing w:line="360" w:lineRule="auto"/>
        <w:ind w:firstLine="420" w:firstLineChars="200"/>
        <w:rPr>
          <w:rFonts w:ascii="宋体" w:hAnsi="宋体"/>
          <w:color w:val="auto"/>
          <w:szCs w:val="21"/>
          <w:highlight w:val="none"/>
        </w:rPr>
      </w:pPr>
      <w:r>
        <w:rPr>
          <w:rFonts w:ascii="宋体" w:hAnsi="宋体"/>
          <w:color w:val="auto"/>
          <w:szCs w:val="21"/>
          <w:highlight w:val="none"/>
        </w:rPr>
        <w:t>3</w:t>
      </w:r>
      <w:r>
        <w:rPr>
          <w:rFonts w:hint="eastAsia" w:ascii="宋体" w:hAnsi="宋体"/>
          <w:color w:val="auto"/>
          <w:szCs w:val="21"/>
          <w:highlight w:val="none"/>
        </w:rPr>
        <w:t>0</w:t>
      </w:r>
      <w:r>
        <w:rPr>
          <w:rFonts w:ascii="宋体" w:hAnsi="宋体"/>
          <w:color w:val="auto"/>
          <w:szCs w:val="21"/>
          <w:highlight w:val="none"/>
        </w:rPr>
        <w:t>.l 中标结果确定后，代理机构将向中标供应商发出中标通知书。</w:t>
      </w:r>
    </w:p>
    <w:p w14:paraId="53327B37">
      <w:pPr>
        <w:spacing w:line="360" w:lineRule="auto"/>
        <w:ind w:firstLine="420" w:firstLineChars="200"/>
        <w:rPr>
          <w:rFonts w:ascii="宋体" w:hAnsi="宋体"/>
          <w:color w:val="auto"/>
          <w:szCs w:val="21"/>
          <w:highlight w:val="none"/>
        </w:rPr>
      </w:pPr>
      <w:r>
        <w:rPr>
          <w:rFonts w:ascii="宋体" w:hAnsi="宋体"/>
          <w:color w:val="auto"/>
          <w:szCs w:val="21"/>
          <w:highlight w:val="none"/>
        </w:rPr>
        <w:t>3</w:t>
      </w:r>
      <w:r>
        <w:rPr>
          <w:rFonts w:hint="eastAsia" w:ascii="宋体" w:hAnsi="宋体"/>
          <w:color w:val="auto"/>
          <w:szCs w:val="21"/>
          <w:highlight w:val="none"/>
        </w:rPr>
        <w:t>0</w:t>
      </w:r>
      <w:r>
        <w:rPr>
          <w:rFonts w:ascii="宋体" w:hAnsi="宋体"/>
          <w:color w:val="auto"/>
          <w:szCs w:val="21"/>
          <w:highlight w:val="none"/>
        </w:rPr>
        <w:t>.2 中标供应商收到中标通知书后，应签字确认中标通知书已收到。若无回复，则公告后视同中标供应商已经知悉并同意接受。</w:t>
      </w:r>
    </w:p>
    <w:p w14:paraId="46B08998">
      <w:pPr>
        <w:spacing w:line="360" w:lineRule="auto"/>
        <w:ind w:firstLine="420" w:firstLineChars="200"/>
        <w:rPr>
          <w:rFonts w:ascii="宋体" w:hAnsi="宋体"/>
          <w:color w:val="auto"/>
          <w:szCs w:val="21"/>
          <w:highlight w:val="none"/>
        </w:rPr>
      </w:pPr>
      <w:r>
        <w:rPr>
          <w:rFonts w:ascii="宋体" w:hAnsi="宋体"/>
          <w:color w:val="auto"/>
          <w:szCs w:val="21"/>
          <w:highlight w:val="none"/>
        </w:rPr>
        <w:t>3</w:t>
      </w:r>
      <w:r>
        <w:rPr>
          <w:rFonts w:hint="eastAsia" w:ascii="宋体" w:hAnsi="宋体"/>
          <w:color w:val="auto"/>
          <w:szCs w:val="21"/>
          <w:highlight w:val="none"/>
        </w:rPr>
        <w:t>0</w:t>
      </w:r>
      <w:r>
        <w:rPr>
          <w:rFonts w:ascii="宋体" w:hAnsi="宋体"/>
          <w:color w:val="auto"/>
          <w:szCs w:val="21"/>
          <w:highlight w:val="none"/>
        </w:rPr>
        <w:t>.3中标通知书将是合同的一个组成部分。对采购人和中标供应商均具有法律效力。中标通知书发出后，采购人改变中标结果的，或者中标供应商放弃中标项目的，应当依法承担法律责任。</w:t>
      </w:r>
    </w:p>
    <w:p w14:paraId="6209558E">
      <w:pPr>
        <w:spacing w:line="360" w:lineRule="auto"/>
        <w:ind w:firstLine="420" w:firstLineChars="200"/>
        <w:rPr>
          <w:rFonts w:ascii="宋体" w:hAnsi="宋体"/>
          <w:color w:val="auto"/>
          <w:szCs w:val="21"/>
          <w:highlight w:val="none"/>
        </w:rPr>
      </w:pPr>
      <w:r>
        <w:rPr>
          <w:rFonts w:ascii="宋体" w:hAnsi="宋体"/>
          <w:color w:val="auto"/>
          <w:szCs w:val="21"/>
          <w:highlight w:val="none"/>
        </w:rPr>
        <w:t>3</w:t>
      </w:r>
      <w:r>
        <w:rPr>
          <w:rFonts w:hint="eastAsia" w:ascii="宋体" w:hAnsi="宋体"/>
          <w:color w:val="auto"/>
          <w:szCs w:val="21"/>
          <w:highlight w:val="none"/>
        </w:rPr>
        <w:t>0</w:t>
      </w:r>
      <w:r>
        <w:rPr>
          <w:rFonts w:ascii="宋体" w:hAnsi="宋体"/>
          <w:color w:val="auto"/>
          <w:szCs w:val="21"/>
          <w:highlight w:val="none"/>
        </w:rPr>
        <w:t>.4所有投标文件都将作为档案保存，不论中标与否，代理机构均不退回。</w:t>
      </w:r>
    </w:p>
    <w:p w14:paraId="545BF4CF">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31、 签订合同</w:t>
      </w:r>
    </w:p>
    <w:p w14:paraId="2F717362">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31.l中标人应在中标通知书发出之日起三十日内，按照招标文件确定的事项与采购人签订政府采购合同。</w:t>
      </w:r>
    </w:p>
    <w:p w14:paraId="20D298BE">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31.2 招标文件、中标人的投标文件及招标过程中有关澄清、承诺文件均应作为合同附件。</w:t>
      </w:r>
    </w:p>
    <w:p w14:paraId="6B9B44AE">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31.3 签订合同后，</w:t>
      </w:r>
      <w:r>
        <w:rPr>
          <w:rFonts w:hint="eastAsia" w:ascii="宋体" w:hAnsi="宋体"/>
          <w:bCs/>
          <w:i/>
          <w:iCs/>
          <w:color w:val="auto"/>
          <w:szCs w:val="21"/>
          <w:highlight w:val="none"/>
          <w:u w:val="single"/>
        </w:rPr>
        <w:t>中标人不得将货物或服务及其他服务进行转包</w:t>
      </w:r>
      <w:r>
        <w:rPr>
          <w:rFonts w:hint="eastAsia" w:ascii="宋体" w:hAnsi="宋体"/>
          <w:bCs/>
          <w:color w:val="auto"/>
          <w:szCs w:val="21"/>
          <w:highlight w:val="none"/>
        </w:rPr>
        <w:t>。未经采购人同意，中标人也不得采用分包的形式履行合同，否则采购人有权终止合同，中标人的履约保证金将不予退还。转包或分包造成采购人损失的，中标人应承担赔偿责任。</w:t>
      </w:r>
    </w:p>
    <w:p w14:paraId="2787F741">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31.4采购人不得向中标人提出任何不合理的要求作为签订合同的条件，不得与中标人私下订立背离合同实质性内容的协议。所签订的合同不得对招标文件确定事项和中标人投标文件作实质性修改。</w:t>
      </w:r>
    </w:p>
    <w:p w14:paraId="542ED87A">
      <w:pPr>
        <w:pStyle w:val="5"/>
        <w:spacing w:before="0" w:after="0" w:line="360" w:lineRule="auto"/>
        <w:ind w:firstLine="422" w:firstLineChars="200"/>
        <w:rPr>
          <w:rFonts w:ascii="宋体" w:hAnsi="宋体" w:eastAsia="宋体"/>
          <w:b w:val="0"/>
          <w:color w:val="auto"/>
          <w:sz w:val="21"/>
          <w:szCs w:val="21"/>
          <w:highlight w:val="none"/>
        </w:rPr>
      </w:pPr>
      <w:r>
        <w:rPr>
          <w:rFonts w:ascii="宋体" w:hAnsi="宋体" w:eastAsia="宋体"/>
          <w:color w:val="auto"/>
          <w:sz w:val="21"/>
          <w:szCs w:val="21"/>
          <w:highlight w:val="none"/>
        </w:rPr>
        <w:t>3</w:t>
      </w:r>
      <w:r>
        <w:rPr>
          <w:rFonts w:hint="eastAsia" w:ascii="宋体" w:hAnsi="宋体" w:eastAsia="宋体"/>
          <w:color w:val="auto"/>
          <w:sz w:val="21"/>
          <w:szCs w:val="21"/>
          <w:highlight w:val="none"/>
        </w:rPr>
        <w:t>2</w:t>
      </w:r>
      <w:r>
        <w:rPr>
          <w:rFonts w:ascii="宋体" w:hAnsi="宋体" w:eastAsia="宋体"/>
          <w:color w:val="auto"/>
          <w:sz w:val="21"/>
          <w:szCs w:val="21"/>
          <w:highlight w:val="none"/>
        </w:rPr>
        <w:t>、货物和服务的追加、减少和添购</w:t>
      </w:r>
    </w:p>
    <w:p w14:paraId="307CCD70">
      <w:pPr>
        <w:spacing w:line="360" w:lineRule="auto"/>
        <w:ind w:firstLine="420" w:firstLineChars="200"/>
        <w:rPr>
          <w:rFonts w:ascii="宋体" w:hAnsi="宋体"/>
          <w:color w:val="auto"/>
          <w:szCs w:val="21"/>
          <w:highlight w:val="none"/>
        </w:rPr>
      </w:pPr>
      <w:r>
        <w:rPr>
          <w:rFonts w:ascii="宋体" w:hAnsi="宋体"/>
          <w:color w:val="auto"/>
          <w:szCs w:val="21"/>
          <w:highlight w:val="none"/>
        </w:rPr>
        <w:t>3</w:t>
      </w:r>
      <w:r>
        <w:rPr>
          <w:rFonts w:hint="eastAsia" w:ascii="宋体" w:hAnsi="宋体"/>
          <w:color w:val="auto"/>
          <w:szCs w:val="21"/>
          <w:highlight w:val="none"/>
        </w:rPr>
        <w:t>2</w:t>
      </w:r>
      <w:r>
        <w:rPr>
          <w:rFonts w:ascii="宋体" w:hAnsi="宋体"/>
          <w:color w:val="auto"/>
          <w:szCs w:val="21"/>
          <w:highlight w:val="none"/>
        </w:rPr>
        <w:t>.1政府采购合同履行中，采购人需追加与合同标的相同的货物和服务的，在不改变合同其他条款的前提下，可以与中标供应商协商签订补充合同，但所有补充合同的采购金额不超过原合同金额10%</w:t>
      </w:r>
      <w:r>
        <w:rPr>
          <w:rFonts w:hint="eastAsia" w:ascii="宋体" w:hAnsi="宋体"/>
          <w:color w:val="auto"/>
          <w:szCs w:val="21"/>
          <w:highlight w:val="none"/>
        </w:rPr>
        <w:t>，货物单价不得调增</w:t>
      </w:r>
      <w:r>
        <w:rPr>
          <w:rFonts w:ascii="宋体" w:hAnsi="宋体"/>
          <w:color w:val="auto"/>
          <w:szCs w:val="21"/>
          <w:highlight w:val="none"/>
        </w:rPr>
        <w:t>。</w:t>
      </w:r>
    </w:p>
    <w:p w14:paraId="75B8D237">
      <w:pPr>
        <w:spacing w:line="360" w:lineRule="auto"/>
        <w:ind w:firstLine="420" w:firstLineChars="200"/>
        <w:rPr>
          <w:rFonts w:ascii="宋体" w:hAnsi="宋体"/>
          <w:b/>
          <w:color w:val="auto"/>
          <w:szCs w:val="21"/>
          <w:highlight w:val="none"/>
        </w:rPr>
      </w:pPr>
      <w:r>
        <w:rPr>
          <w:rFonts w:ascii="宋体" w:hAnsi="宋体"/>
          <w:color w:val="auto"/>
          <w:szCs w:val="21"/>
          <w:highlight w:val="none"/>
        </w:rPr>
        <w:t>3</w:t>
      </w:r>
      <w:r>
        <w:rPr>
          <w:rFonts w:hint="eastAsia" w:ascii="宋体" w:hAnsi="宋体"/>
          <w:color w:val="auto"/>
          <w:szCs w:val="21"/>
          <w:highlight w:val="none"/>
        </w:rPr>
        <w:t>2</w:t>
      </w:r>
      <w:r>
        <w:rPr>
          <w:rFonts w:ascii="宋体" w:hAnsi="宋体"/>
          <w:color w:val="auto"/>
          <w:szCs w:val="21"/>
          <w:highlight w:val="none"/>
        </w:rPr>
        <w:t>.2采购结束后，采购人若由于各种客观原因，必须对采购项目所牵涉的货物和服务进行适当的减少时，在双方协商一致的前提下，可以按照招标采购时的价格水平做相应的调减，并据此签订补充合同</w:t>
      </w:r>
      <w:r>
        <w:rPr>
          <w:rFonts w:hint="eastAsia" w:ascii="宋体" w:hAnsi="宋体"/>
          <w:color w:val="auto"/>
          <w:szCs w:val="21"/>
          <w:highlight w:val="none"/>
        </w:rPr>
        <w:t>，货物单价不得调增</w:t>
      </w:r>
      <w:r>
        <w:rPr>
          <w:rFonts w:ascii="宋体" w:hAnsi="宋体"/>
          <w:color w:val="auto"/>
          <w:szCs w:val="21"/>
          <w:highlight w:val="none"/>
        </w:rPr>
        <w:t>。</w:t>
      </w:r>
    </w:p>
    <w:p w14:paraId="55EA3860">
      <w:pPr>
        <w:pStyle w:val="5"/>
        <w:spacing w:before="0" w:after="0" w:line="360" w:lineRule="auto"/>
        <w:ind w:firstLine="422" w:firstLineChars="200"/>
        <w:rPr>
          <w:rFonts w:ascii="宋体" w:hAnsi="宋体" w:eastAsia="宋体"/>
          <w:b w:val="0"/>
          <w:color w:val="auto"/>
          <w:sz w:val="21"/>
          <w:szCs w:val="21"/>
          <w:highlight w:val="none"/>
        </w:rPr>
      </w:pPr>
      <w:r>
        <w:rPr>
          <w:rFonts w:ascii="宋体" w:hAnsi="宋体" w:eastAsia="宋体"/>
          <w:color w:val="auto"/>
          <w:sz w:val="21"/>
          <w:szCs w:val="21"/>
          <w:highlight w:val="none"/>
        </w:rPr>
        <w:t>3</w:t>
      </w:r>
      <w:r>
        <w:rPr>
          <w:rFonts w:hint="eastAsia" w:ascii="宋体" w:hAnsi="宋体" w:eastAsia="宋体"/>
          <w:color w:val="auto"/>
          <w:sz w:val="21"/>
          <w:szCs w:val="21"/>
          <w:highlight w:val="none"/>
        </w:rPr>
        <w:t>3</w:t>
      </w:r>
      <w:r>
        <w:rPr>
          <w:rFonts w:ascii="宋体" w:hAnsi="宋体" w:eastAsia="宋体"/>
          <w:color w:val="auto"/>
          <w:sz w:val="21"/>
          <w:szCs w:val="21"/>
          <w:highlight w:val="none"/>
        </w:rPr>
        <w:t>、履约保证金</w:t>
      </w:r>
    </w:p>
    <w:p w14:paraId="2B32843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 xml:space="preserve">33.1 中标人在签订合同后须缴纳至采购人账户。履约保证金用以约束投标人在合同履行中的行为，弥补合同执行中由于自身行为可能给采购人带来的各种损失。如果中标人不同意按照规定去做，采购人有权取消本次采购中标决定。 </w:t>
      </w:r>
    </w:p>
    <w:p w14:paraId="42F4FC62">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33.2 履约保证金的退还：履约保证金在合同履行结束后1个月内退还，不计利息。合同履行结束后，在无质量问题或合同纠纷的前提下，中标人凭采购人签署的“履约保证金退款通知”、履约保证金收据原件，前往采购人处办理保证金退还手续。</w:t>
      </w:r>
    </w:p>
    <w:p w14:paraId="685D2DC2">
      <w:pPr>
        <w:spacing w:line="360" w:lineRule="auto"/>
        <w:ind w:firstLine="422" w:firstLineChars="200"/>
        <w:jc w:val="left"/>
        <w:rPr>
          <w:rFonts w:ascii="宋体" w:hAnsi="宋体"/>
          <w:b/>
          <w:bCs/>
          <w:color w:val="auto"/>
          <w:szCs w:val="21"/>
          <w:highlight w:val="none"/>
        </w:rPr>
      </w:pPr>
      <w:r>
        <w:rPr>
          <w:rFonts w:ascii="宋体" w:hAnsi="宋体"/>
          <w:b/>
          <w:bCs/>
          <w:color w:val="auto"/>
          <w:szCs w:val="21"/>
          <w:highlight w:val="none"/>
        </w:rPr>
        <w:t>3</w:t>
      </w:r>
      <w:r>
        <w:rPr>
          <w:rFonts w:hint="eastAsia" w:ascii="宋体" w:hAnsi="宋体"/>
          <w:b/>
          <w:bCs/>
          <w:color w:val="auto"/>
          <w:szCs w:val="21"/>
          <w:highlight w:val="none"/>
        </w:rPr>
        <w:t>4</w:t>
      </w:r>
      <w:r>
        <w:rPr>
          <w:rFonts w:ascii="宋体" w:hAnsi="宋体"/>
          <w:b/>
          <w:bCs/>
          <w:color w:val="auto"/>
          <w:szCs w:val="21"/>
          <w:highlight w:val="none"/>
        </w:rPr>
        <w:t>、样品</w:t>
      </w:r>
    </w:p>
    <w:p w14:paraId="22D7C4B7">
      <w:pPr>
        <w:spacing w:line="360" w:lineRule="auto"/>
        <w:ind w:firstLine="420" w:firstLineChars="200"/>
        <w:jc w:val="left"/>
        <w:rPr>
          <w:rFonts w:ascii="宋体" w:hAnsi="宋体"/>
          <w:color w:val="auto"/>
          <w:highlight w:val="none"/>
        </w:rPr>
      </w:pPr>
      <w:r>
        <w:rPr>
          <w:rFonts w:ascii="宋体" w:hAnsi="宋体"/>
          <w:color w:val="auto"/>
          <w:szCs w:val="21"/>
          <w:highlight w:val="none"/>
        </w:rPr>
        <w:t>若项目要求提供样品的，中标人的样品由采购人负责保管、封存，并作为履约验收的参考。未中标人的样品将及时退还。</w:t>
      </w:r>
    </w:p>
    <w:p w14:paraId="7623AED5">
      <w:pPr>
        <w:spacing w:line="360" w:lineRule="auto"/>
        <w:ind w:firstLine="422" w:firstLineChars="200"/>
        <w:rPr>
          <w:rFonts w:ascii="宋体" w:hAnsi="宋体"/>
          <w:color w:val="auto"/>
          <w:highlight w:val="none"/>
        </w:rPr>
      </w:pPr>
      <w:r>
        <w:rPr>
          <w:rFonts w:ascii="宋体" w:hAnsi="宋体"/>
          <w:b/>
          <w:bCs/>
          <w:color w:val="auto"/>
          <w:highlight w:val="none"/>
        </w:rPr>
        <w:t>3</w:t>
      </w:r>
      <w:r>
        <w:rPr>
          <w:rFonts w:hint="eastAsia" w:ascii="宋体" w:hAnsi="宋体"/>
          <w:b/>
          <w:bCs/>
          <w:color w:val="auto"/>
          <w:highlight w:val="none"/>
        </w:rPr>
        <w:t>5、其他</w:t>
      </w:r>
    </w:p>
    <w:p w14:paraId="4DE47A37">
      <w:pPr>
        <w:spacing w:line="360" w:lineRule="auto"/>
        <w:ind w:firstLine="420" w:firstLineChars="200"/>
        <w:rPr>
          <w:rFonts w:ascii="宋体" w:hAnsi="宋体"/>
          <w:bCs/>
          <w:color w:val="auto"/>
          <w:szCs w:val="21"/>
          <w:highlight w:val="none"/>
        </w:rPr>
      </w:pPr>
      <w:r>
        <w:rPr>
          <w:rFonts w:ascii="宋体" w:hAnsi="宋体"/>
          <w:color w:val="auto"/>
          <w:highlight w:val="none"/>
        </w:rPr>
        <w:t>3</w:t>
      </w:r>
      <w:r>
        <w:rPr>
          <w:rFonts w:hint="eastAsia" w:ascii="宋体" w:hAnsi="宋体"/>
          <w:color w:val="auto"/>
          <w:highlight w:val="none"/>
        </w:rPr>
        <w:t>5</w:t>
      </w:r>
      <w:r>
        <w:rPr>
          <w:rFonts w:ascii="宋体" w:hAnsi="宋体"/>
          <w:color w:val="auto"/>
          <w:highlight w:val="none"/>
        </w:rPr>
        <w:t xml:space="preserve">.1 </w:t>
      </w:r>
      <w:r>
        <w:rPr>
          <w:rFonts w:hint="eastAsia" w:ascii="宋体" w:hAnsi="宋体"/>
          <w:color w:val="auto"/>
          <w:highlight w:val="none"/>
        </w:rPr>
        <w:t>依据《政府采购促进中小企业发展管理办法》享受扶持政策获得政府采购合同的，小微企业不得将合同分包给大中型企业，中型企业不得将合同分包给大型企业。</w:t>
      </w:r>
    </w:p>
    <w:p w14:paraId="3643CD22">
      <w:pPr>
        <w:spacing w:line="360" w:lineRule="auto"/>
        <w:ind w:firstLine="420" w:firstLineChars="200"/>
        <w:rPr>
          <w:rFonts w:ascii="宋体" w:hAnsi="宋体"/>
          <w:color w:val="auto"/>
          <w:highlight w:val="none"/>
        </w:rPr>
      </w:pPr>
      <w:r>
        <w:rPr>
          <w:rFonts w:hint="eastAsia" w:ascii="宋体" w:hAnsi="宋体"/>
          <w:bCs/>
          <w:color w:val="auto"/>
          <w:szCs w:val="21"/>
          <w:highlight w:val="none"/>
        </w:rPr>
        <w:br w:type="page"/>
      </w:r>
    </w:p>
    <w:p w14:paraId="1A3565A2">
      <w:pPr>
        <w:pStyle w:val="2"/>
        <w:spacing w:line="360" w:lineRule="auto"/>
        <w:jc w:val="center"/>
        <w:rPr>
          <w:rFonts w:ascii="宋体" w:hAnsi="宋体"/>
          <w:color w:val="auto"/>
          <w:szCs w:val="36"/>
          <w:highlight w:val="none"/>
        </w:rPr>
      </w:pPr>
      <w:bookmarkStart w:id="58" w:name="_Toc55204179"/>
      <w:bookmarkStart w:id="59" w:name="_Hlk69392822"/>
      <w:r>
        <w:rPr>
          <w:rFonts w:hint="eastAsia" w:ascii="宋体" w:hAnsi="宋体"/>
          <w:color w:val="auto"/>
          <w:szCs w:val="36"/>
          <w:highlight w:val="none"/>
        </w:rPr>
        <w:t>第三章 合同条款及格式</w:t>
      </w:r>
      <w:bookmarkEnd w:id="58"/>
    </w:p>
    <w:p w14:paraId="01199A0C">
      <w:pPr>
        <w:pStyle w:val="11"/>
        <w:snapToGrid w:val="0"/>
        <w:spacing w:before="120" w:after="120" w:line="360" w:lineRule="auto"/>
        <w:ind w:firstLine="420" w:firstLineChars="200"/>
        <w:rPr>
          <w:rFonts w:hAnsi="宋体"/>
          <w:color w:val="auto"/>
          <w:sz w:val="21"/>
          <w:highlight w:val="none"/>
        </w:rPr>
      </w:pPr>
      <w:r>
        <w:rPr>
          <w:rFonts w:hint="eastAsia" w:hAnsi="宋体"/>
          <w:color w:val="auto"/>
          <w:sz w:val="21"/>
          <w:highlight w:val="none"/>
        </w:rPr>
        <w:t>以下为中标后签定本项目合同的通用条款，中标人不得提出实质性的修改，关于专用条款将由采购人与中标人结合本项目具体情况协商后签订。</w:t>
      </w:r>
    </w:p>
    <w:p w14:paraId="0CA4C01D">
      <w:pPr>
        <w:pStyle w:val="11"/>
        <w:snapToGrid w:val="0"/>
        <w:spacing w:line="440" w:lineRule="exact"/>
        <w:ind w:firstLine="422" w:firstLineChars="200"/>
        <w:jc w:val="center"/>
        <w:rPr>
          <w:rFonts w:hAnsi="宋体" w:cstheme="minorEastAsia"/>
          <w:b/>
          <w:bCs/>
          <w:color w:val="auto"/>
          <w:sz w:val="21"/>
          <w:highlight w:val="none"/>
        </w:rPr>
      </w:pPr>
    </w:p>
    <w:p w14:paraId="6112AB82">
      <w:pPr>
        <w:pStyle w:val="11"/>
        <w:snapToGrid w:val="0"/>
        <w:spacing w:line="440" w:lineRule="exact"/>
        <w:ind w:firstLine="422" w:firstLineChars="200"/>
        <w:jc w:val="center"/>
        <w:rPr>
          <w:rFonts w:hAnsi="宋体" w:cstheme="minorEastAsia"/>
          <w:b/>
          <w:bCs/>
          <w:color w:val="auto"/>
          <w:sz w:val="21"/>
          <w:highlight w:val="none"/>
        </w:rPr>
      </w:pPr>
      <w:r>
        <w:rPr>
          <w:rFonts w:hint="eastAsia" w:hAnsi="宋体" w:cstheme="minorEastAsia"/>
          <w:b/>
          <w:bCs/>
          <w:color w:val="auto"/>
          <w:sz w:val="21"/>
          <w:highlight w:val="none"/>
        </w:rPr>
        <w:t>扬州市政府采购合同（货物)（</w:t>
      </w:r>
      <w:r>
        <w:rPr>
          <w:rFonts w:hint="eastAsia" w:hAnsi="宋体" w:cstheme="minorEastAsia"/>
          <w:b/>
          <w:bCs/>
          <w:color w:val="auto"/>
          <w:sz w:val="21"/>
          <w:highlight w:val="none"/>
          <w:lang w:eastAsia="zh-CN"/>
        </w:rPr>
        <w:t>JSZC-320000-HCZX-G2024-0089</w:t>
      </w:r>
      <w:r>
        <w:rPr>
          <w:rFonts w:hint="eastAsia" w:hAnsi="宋体" w:cstheme="minorEastAsia"/>
          <w:b/>
          <w:bCs/>
          <w:color w:val="auto"/>
          <w:sz w:val="21"/>
          <w:highlight w:val="none"/>
        </w:rPr>
        <w:t>）</w:t>
      </w:r>
    </w:p>
    <w:p w14:paraId="3A06C1EB">
      <w:pPr>
        <w:pStyle w:val="6"/>
        <w:rPr>
          <w:rFonts w:ascii="宋体" w:hAnsi="宋体"/>
          <w:color w:val="auto"/>
          <w:highlight w:val="none"/>
        </w:rPr>
      </w:pPr>
    </w:p>
    <w:p w14:paraId="69C6E7F4">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项目名称：江苏省复员退伍军人精神病医院磁共振成像系统采购项目</w:t>
      </w:r>
    </w:p>
    <w:p w14:paraId="76C3E5C7">
      <w:pPr>
        <w:pStyle w:val="11"/>
        <w:snapToGrid w:val="0"/>
        <w:spacing w:line="440" w:lineRule="exact"/>
        <w:ind w:firstLine="420" w:firstLineChars="200"/>
        <w:rPr>
          <w:rFonts w:hint="eastAsia" w:hAnsi="宋体" w:eastAsia="宋体" w:cstheme="minorEastAsia"/>
          <w:color w:val="auto"/>
          <w:sz w:val="21"/>
          <w:highlight w:val="none"/>
          <w:lang w:eastAsia="zh-CN"/>
        </w:rPr>
      </w:pPr>
      <w:r>
        <w:rPr>
          <w:rFonts w:hint="eastAsia" w:hAnsi="宋体" w:cstheme="minorEastAsia"/>
          <w:color w:val="auto"/>
          <w:sz w:val="21"/>
          <w:highlight w:val="none"/>
        </w:rPr>
        <w:t>项目编号：</w:t>
      </w:r>
      <w:r>
        <w:rPr>
          <w:rFonts w:hint="eastAsia" w:hAnsi="宋体" w:cstheme="minorEastAsia"/>
          <w:color w:val="auto"/>
          <w:sz w:val="21"/>
          <w:highlight w:val="none"/>
          <w:lang w:eastAsia="zh-CN"/>
        </w:rPr>
        <w:t>JSZC-320000-HCZX-G2024-0089</w:t>
      </w:r>
    </w:p>
    <w:p w14:paraId="56C87A4A">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甲方：（买方）江苏省复员退伍军人精神病医院</w:t>
      </w:r>
    </w:p>
    <w:p w14:paraId="462AF432">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乙方：（卖方）_________</w:t>
      </w:r>
    </w:p>
    <w:p w14:paraId="1806ED13">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甲、乙双方根据江苏汇诚投资咨询管理有限公司项目公开招标的结果，签署本合同。</w:t>
      </w:r>
    </w:p>
    <w:p w14:paraId="228A70E0">
      <w:pPr>
        <w:pStyle w:val="11"/>
        <w:snapToGrid w:val="0"/>
        <w:spacing w:line="440" w:lineRule="exact"/>
        <w:ind w:firstLine="422" w:firstLineChars="200"/>
        <w:rPr>
          <w:rFonts w:hAnsi="宋体" w:cstheme="minorEastAsia"/>
          <w:b/>
          <w:bCs/>
          <w:color w:val="auto"/>
          <w:sz w:val="21"/>
          <w:highlight w:val="none"/>
        </w:rPr>
      </w:pPr>
      <w:r>
        <w:rPr>
          <w:rFonts w:hint="eastAsia" w:hAnsi="宋体" w:cstheme="minorEastAsia"/>
          <w:b/>
          <w:bCs/>
          <w:color w:val="auto"/>
          <w:sz w:val="21"/>
          <w:highlight w:val="none"/>
        </w:rPr>
        <w:t>一、货物及伴随服务</w:t>
      </w:r>
    </w:p>
    <w:p w14:paraId="24B93626">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1.1 货物及服务名称：</w:t>
      </w:r>
    </w:p>
    <w:p w14:paraId="6A5E9C5C">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1.2 型号规格：</w:t>
      </w:r>
    </w:p>
    <w:p w14:paraId="4C16792B">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1.3 数量（单位）</w:t>
      </w:r>
    </w:p>
    <w:p w14:paraId="32FCD21E">
      <w:pPr>
        <w:pStyle w:val="11"/>
        <w:snapToGrid w:val="0"/>
        <w:spacing w:line="440" w:lineRule="exact"/>
        <w:ind w:firstLine="422" w:firstLineChars="200"/>
        <w:rPr>
          <w:rFonts w:hAnsi="宋体" w:cstheme="minorEastAsia"/>
          <w:b/>
          <w:bCs/>
          <w:color w:val="auto"/>
          <w:sz w:val="21"/>
          <w:highlight w:val="none"/>
        </w:rPr>
      </w:pPr>
      <w:r>
        <w:rPr>
          <w:rFonts w:hint="eastAsia" w:hAnsi="宋体" w:cstheme="minorEastAsia"/>
          <w:b/>
          <w:bCs/>
          <w:color w:val="auto"/>
          <w:sz w:val="21"/>
          <w:highlight w:val="none"/>
        </w:rPr>
        <w:t>二、合同金额</w:t>
      </w:r>
    </w:p>
    <w:p w14:paraId="32F754AC">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2.1 本合同金额为（大写）：_________________圆（_______________元）人民币。</w:t>
      </w:r>
    </w:p>
    <w:p w14:paraId="2C2899F5">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2.2  本合同总金额包括乙方提供的货物、包装、保险、运杂、安装、调试、验收、培训、售后服务及其他有关的为完成本项目发生的所有费用，招标文件中另有规定的除外。</w:t>
      </w:r>
    </w:p>
    <w:p w14:paraId="52B99954">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2.3 在招标文件未列明，而乙方认为履行本合同必需的费用也包含在合同总金额中。</w:t>
      </w:r>
    </w:p>
    <w:p w14:paraId="7BB82F43">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2.4 本合同总金额还包含乙方提供的伴随服务/售后服务费用。</w:t>
      </w:r>
    </w:p>
    <w:p w14:paraId="0C9CADD7">
      <w:pPr>
        <w:pStyle w:val="11"/>
        <w:snapToGrid w:val="0"/>
        <w:spacing w:line="440" w:lineRule="exact"/>
        <w:ind w:firstLine="420" w:firstLineChars="200"/>
        <w:rPr>
          <w:rFonts w:hAnsi="宋体"/>
          <w:color w:val="auto"/>
          <w:highlight w:val="none"/>
        </w:rPr>
      </w:pPr>
      <w:r>
        <w:rPr>
          <w:rFonts w:hint="eastAsia" w:hAnsi="宋体" w:cstheme="minorEastAsia"/>
          <w:color w:val="auto"/>
          <w:sz w:val="21"/>
          <w:highlight w:val="none"/>
        </w:rPr>
        <w:t>2.5 本合同签订后：甲方需追加与合同标的相同的服务，在不改变合同其他条款的前提下，可以与乙方协商签订补充合同，但所有补充合同的增加的金额不超过原合同金额的10%；甲方若由于各种客观原因，必须对采购项目所牵涉的服务进行适当的减少时，在与乙方协商一致后，可以按照招标采购时的价格水平做相应的调减，并据此签订补充合同；除上述情况外，本合同执行期间合同总金额</w:t>
      </w:r>
      <w:r>
        <w:rPr>
          <w:rFonts w:hint="eastAsia" w:hAnsi="宋体"/>
          <w:color w:val="auto"/>
          <w:sz w:val="21"/>
          <w:highlight w:val="none"/>
        </w:rPr>
        <w:t>不变。</w:t>
      </w:r>
    </w:p>
    <w:p w14:paraId="79804DED">
      <w:pPr>
        <w:pStyle w:val="11"/>
        <w:snapToGrid w:val="0"/>
        <w:spacing w:line="440" w:lineRule="exact"/>
        <w:ind w:firstLine="422" w:firstLineChars="200"/>
        <w:rPr>
          <w:rFonts w:hAnsi="宋体" w:cstheme="minorEastAsia"/>
          <w:b/>
          <w:bCs/>
          <w:color w:val="auto"/>
          <w:sz w:val="21"/>
          <w:highlight w:val="none"/>
        </w:rPr>
      </w:pPr>
      <w:r>
        <w:rPr>
          <w:rFonts w:hint="eastAsia" w:hAnsi="宋体" w:cstheme="minorEastAsia"/>
          <w:b/>
          <w:bCs/>
          <w:color w:val="auto"/>
          <w:sz w:val="21"/>
          <w:highlight w:val="none"/>
        </w:rPr>
        <w:t>三、技术资料</w:t>
      </w:r>
    </w:p>
    <w:p w14:paraId="03A91562">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3.1乙方应按招标文件规定的时间向甲方提供使用货物及服务的有关技术资料。</w:t>
      </w:r>
    </w:p>
    <w:p w14:paraId="2F94D0FB">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3.2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06031098">
      <w:pPr>
        <w:pStyle w:val="11"/>
        <w:snapToGrid w:val="0"/>
        <w:spacing w:line="440" w:lineRule="exact"/>
        <w:ind w:firstLine="422" w:firstLineChars="200"/>
        <w:rPr>
          <w:rFonts w:hAnsi="宋体" w:cstheme="minorEastAsia"/>
          <w:b/>
          <w:bCs/>
          <w:color w:val="auto"/>
          <w:sz w:val="21"/>
          <w:highlight w:val="none"/>
        </w:rPr>
      </w:pPr>
      <w:r>
        <w:rPr>
          <w:rFonts w:hint="eastAsia" w:hAnsi="宋体" w:cstheme="minorEastAsia"/>
          <w:b/>
          <w:bCs/>
          <w:color w:val="auto"/>
          <w:sz w:val="21"/>
          <w:highlight w:val="none"/>
        </w:rPr>
        <w:t>四、知识产权</w:t>
      </w:r>
    </w:p>
    <w:p w14:paraId="25248A8E">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4.1乙方应保证甲方在使用、接受本合同货物及服务或其任何一部分时不受第三方提出侵犯其专利权、版权、商标权和工业设计权等知识产权的起诉。一旦出现侵权，由乙方负全部责任。</w:t>
      </w:r>
    </w:p>
    <w:p w14:paraId="2C99D86F">
      <w:pPr>
        <w:pStyle w:val="11"/>
        <w:snapToGrid w:val="0"/>
        <w:spacing w:line="440" w:lineRule="exact"/>
        <w:ind w:firstLine="422" w:firstLineChars="200"/>
        <w:rPr>
          <w:rFonts w:hAnsi="宋体" w:cstheme="minorEastAsia"/>
          <w:b/>
          <w:bCs/>
          <w:color w:val="auto"/>
          <w:sz w:val="21"/>
          <w:highlight w:val="none"/>
        </w:rPr>
      </w:pPr>
      <w:r>
        <w:rPr>
          <w:rFonts w:hint="eastAsia" w:hAnsi="宋体" w:cstheme="minorEastAsia"/>
          <w:b/>
          <w:bCs/>
          <w:color w:val="auto"/>
          <w:sz w:val="21"/>
          <w:highlight w:val="none"/>
        </w:rPr>
        <w:t>五、产权担保</w:t>
      </w:r>
    </w:p>
    <w:p w14:paraId="0C731F64">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5.1 乙方保证所交付的货物及服务的所有权完全属于乙方且无任何抵押、查封等产权瑕疵。</w:t>
      </w:r>
    </w:p>
    <w:p w14:paraId="55803F33">
      <w:pPr>
        <w:pStyle w:val="11"/>
        <w:snapToGrid w:val="0"/>
        <w:spacing w:line="440" w:lineRule="exact"/>
        <w:ind w:firstLine="422" w:firstLineChars="200"/>
        <w:rPr>
          <w:rFonts w:hAnsi="宋体" w:cstheme="minorEastAsia"/>
          <w:b/>
          <w:bCs/>
          <w:color w:val="auto"/>
          <w:sz w:val="21"/>
          <w:highlight w:val="none"/>
        </w:rPr>
      </w:pPr>
      <w:r>
        <w:rPr>
          <w:rFonts w:hint="eastAsia" w:hAnsi="宋体" w:cstheme="minorEastAsia"/>
          <w:b/>
          <w:bCs/>
          <w:color w:val="auto"/>
          <w:sz w:val="21"/>
          <w:highlight w:val="none"/>
        </w:rPr>
        <w:t>六、履约保证金</w:t>
      </w:r>
    </w:p>
    <w:p w14:paraId="7E2F9AFB">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6.1 收取履约保证金的，允许中标人自主选择支票、汇票、本票、保函等非现金形式缴纳或提交，应当在采购合同中约定履约保证金退还的方式、时间、条件和不予退还的情形，明确逾期退还履约保证金的违约责任。</w:t>
      </w:r>
    </w:p>
    <w:p w14:paraId="0633E35A">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6.2履约保证金用以约束乙方在合同履行中的行为，以及弥补合同履行中由于乙方自身行为可能给甲方带来的各种损失；若履约保证金额不足以弥补乙方违约造成甲方损失的，甲方可继续向乙方主张索赔。</w:t>
      </w:r>
    </w:p>
    <w:p w14:paraId="55255280">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6.3 履约保证金扣除甲方应得的补偿后的余额，在本合同履行结束后由甲方无息退还。逾期退还的，按中国人民银行同期贷款基准利率上浮20%后的利率支付超期资金占用费，但因乙方自身原因导致无法及时退还的除外。 </w:t>
      </w:r>
    </w:p>
    <w:p w14:paraId="00B91B17">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6.4 履约保证金收取：乙方须在合同签订后缴纳合同价5%的履约保证金。</w:t>
      </w:r>
    </w:p>
    <w:p w14:paraId="55BEB71B">
      <w:pPr>
        <w:pStyle w:val="11"/>
        <w:snapToGrid w:val="0"/>
        <w:spacing w:line="440" w:lineRule="exact"/>
        <w:ind w:firstLine="422" w:firstLineChars="200"/>
        <w:rPr>
          <w:rFonts w:hAnsi="宋体" w:cstheme="minorEastAsia"/>
          <w:b/>
          <w:bCs/>
          <w:color w:val="auto"/>
          <w:sz w:val="21"/>
          <w:highlight w:val="none"/>
        </w:rPr>
      </w:pPr>
      <w:r>
        <w:rPr>
          <w:rFonts w:hint="eastAsia" w:hAnsi="宋体" w:cstheme="minorEastAsia"/>
          <w:b/>
          <w:bCs/>
          <w:color w:val="auto"/>
          <w:sz w:val="21"/>
          <w:highlight w:val="none"/>
        </w:rPr>
        <w:t>七、转包或分包</w:t>
      </w:r>
    </w:p>
    <w:p w14:paraId="531FDDDD">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7.1本合同范围的货物及服务，应由乙方直接供应，不得转让他人供应；</w:t>
      </w:r>
    </w:p>
    <w:p w14:paraId="226F77A7">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7.2 除非得到甲方的书面同意，乙方不得全部分包或部分分包给他人供应。</w:t>
      </w:r>
    </w:p>
    <w:p w14:paraId="4403B5EC">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7.3如有转让和未经甲方同意的分包行为，甲方有权终止合同。</w:t>
      </w:r>
    </w:p>
    <w:p w14:paraId="09AA9849">
      <w:pPr>
        <w:pStyle w:val="11"/>
        <w:snapToGrid w:val="0"/>
        <w:spacing w:line="440" w:lineRule="exact"/>
        <w:ind w:firstLine="422" w:firstLineChars="200"/>
        <w:rPr>
          <w:rFonts w:hAnsi="宋体" w:cstheme="minorEastAsia"/>
          <w:b/>
          <w:bCs/>
          <w:color w:val="auto"/>
          <w:sz w:val="21"/>
          <w:highlight w:val="none"/>
        </w:rPr>
      </w:pPr>
      <w:r>
        <w:rPr>
          <w:rFonts w:hint="eastAsia" w:hAnsi="宋体" w:cstheme="minorEastAsia"/>
          <w:b/>
          <w:bCs/>
          <w:color w:val="auto"/>
          <w:sz w:val="21"/>
          <w:highlight w:val="none"/>
        </w:rPr>
        <w:t>八、质保期</w:t>
      </w:r>
    </w:p>
    <w:p w14:paraId="453642C0">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8.1 质保期</w:t>
      </w:r>
      <w:r>
        <w:rPr>
          <w:rFonts w:hint="eastAsia" w:hAnsi="宋体" w:cstheme="minorEastAsia"/>
          <w:color w:val="auto"/>
          <w:sz w:val="21"/>
          <w:highlight w:val="none"/>
          <w:u w:val="single"/>
        </w:rPr>
        <w:t xml:space="preserve">   </w:t>
      </w:r>
      <w:r>
        <w:rPr>
          <w:rFonts w:hint="eastAsia" w:hAnsi="宋体" w:cstheme="minorEastAsia"/>
          <w:color w:val="auto"/>
          <w:sz w:val="21"/>
          <w:highlight w:val="none"/>
        </w:rPr>
        <w:t>年。（自交货验收合格之日起计）</w:t>
      </w:r>
    </w:p>
    <w:p w14:paraId="16EF011D">
      <w:pPr>
        <w:pStyle w:val="11"/>
        <w:snapToGrid w:val="0"/>
        <w:spacing w:line="440" w:lineRule="exact"/>
        <w:ind w:firstLine="422" w:firstLineChars="200"/>
        <w:rPr>
          <w:rFonts w:hAnsi="宋体" w:cstheme="minorEastAsia"/>
          <w:b/>
          <w:bCs/>
          <w:color w:val="auto"/>
          <w:sz w:val="21"/>
          <w:highlight w:val="none"/>
        </w:rPr>
      </w:pPr>
      <w:r>
        <w:rPr>
          <w:rFonts w:hint="eastAsia" w:hAnsi="宋体" w:cstheme="minorEastAsia"/>
          <w:b/>
          <w:bCs/>
          <w:color w:val="auto"/>
          <w:sz w:val="21"/>
          <w:highlight w:val="none"/>
        </w:rPr>
        <w:t>九、交付期、交付方式及交付地点</w:t>
      </w:r>
    </w:p>
    <w:p w14:paraId="28520AA0">
      <w:pPr>
        <w:pStyle w:val="11"/>
        <w:snapToGrid w:val="0"/>
        <w:spacing w:line="440" w:lineRule="exact"/>
        <w:ind w:firstLine="420" w:firstLineChars="200"/>
        <w:rPr>
          <w:rFonts w:hAnsi="宋体" w:cstheme="minorEastAsia"/>
          <w:color w:val="auto"/>
          <w:sz w:val="21"/>
          <w:highlight w:val="none"/>
          <w:u w:val="single"/>
        </w:rPr>
      </w:pPr>
      <w:r>
        <w:rPr>
          <w:rFonts w:hint="eastAsia" w:hAnsi="宋体" w:cstheme="minorEastAsia"/>
          <w:color w:val="auto"/>
          <w:sz w:val="21"/>
          <w:highlight w:val="none"/>
        </w:rPr>
        <w:t>9.1 交付期：</w:t>
      </w:r>
      <w:r>
        <w:rPr>
          <w:rFonts w:hint="eastAsia" w:hAnsi="宋体" w:cstheme="minorEastAsia"/>
          <w:color w:val="auto"/>
          <w:sz w:val="21"/>
          <w:highlight w:val="none"/>
          <w:u w:val="single"/>
        </w:rPr>
        <w:t>按照甲方具体要求执行。</w:t>
      </w:r>
    </w:p>
    <w:p w14:paraId="06C67C61">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9.2 交付方式：</w:t>
      </w:r>
      <w:r>
        <w:rPr>
          <w:rFonts w:hint="eastAsia" w:hAnsi="宋体" w:cstheme="minorEastAsia"/>
          <w:color w:val="auto"/>
          <w:sz w:val="21"/>
          <w:highlight w:val="none"/>
          <w:u w:val="single"/>
        </w:rPr>
        <w:t>由乙方负责送到甲方指定地点，运输费由乙方承担。</w:t>
      </w:r>
    </w:p>
    <w:p w14:paraId="51EFBEED">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9.3 交付地点：</w:t>
      </w:r>
      <w:r>
        <w:rPr>
          <w:rFonts w:hint="eastAsia" w:hAnsi="宋体" w:cstheme="minorEastAsia"/>
          <w:color w:val="auto"/>
          <w:sz w:val="21"/>
          <w:highlight w:val="none"/>
          <w:u w:val="single"/>
        </w:rPr>
        <w:t>按照甲方要求执行。</w:t>
      </w:r>
    </w:p>
    <w:p w14:paraId="22F6F2A2">
      <w:pPr>
        <w:pStyle w:val="11"/>
        <w:snapToGrid w:val="0"/>
        <w:spacing w:line="440" w:lineRule="exact"/>
        <w:ind w:firstLine="422" w:firstLineChars="200"/>
        <w:rPr>
          <w:rFonts w:hAnsi="宋体" w:cstheme="minorEastAsia"/>
          <w:b/>
          <w:bCs/>
          <w:color w:val="auto"/>
          <w:sz w:val="21"/>
          <w:highlight w:val="none"/>
        </w:rPr>
      </w:pPr>
      <w:r>
        <w:rPr>
          <w:rFonts w:hint="eastAsia" w:hAnsi="宋体" w:cstheme="minorEastAsia"/>
          <w:b/>
          <w:bCs/>
          <w:color w:val="auto"/>
          <w:sz w:val="21"/>
          <w:highlight w:val="none"/>
        </w:rPr>
        <w:t>十、货款支付</w:t>
      </w:r>
    </w:p>
    <w:p w14:paraId="4C93FB09">
      <w:pPr>
        <w:autoSpaceDE w:val="0"/>
        <w:autoSpaceDN w:val="0"/>
        <w:spacing w:line="440" w:lineRule="exact"/>
        <w:ind w:firstLine="420" w:firstLineChars="200"/>
        <w:rPr>
          <w:rFonts w:ascii="宋体" w:hAnsi="宋体" w:cstheme="minorEastAsia"/>
          <w:color w:val="auto"/>
          <w:szCs w:val="21"/>
          <w:highlight w:val="none"/>
        </w:rPr>
      </w:pPr>
      <w:r>
        <w:rPr>
          <w:rFonts w:hint="eastAsia" w:ascii="宋体" w:hAnsi="宋体" w:cstheme="minorEastAsia"/>
          <w:color w:val="auto"/>
          <w:szCs w:val="21"/>
          <w:highlight w:val="none"/>
        </w:rPr>
        <w:t xml:space="preserve">10.1 本合同项下所有款项均以人民币支付。 </w:t>
      </w:r>
    </w:p>
    <w:p w14:paraId="030073D8">
      <w:pPr>
        <w:autoSpaceDE w:val="0"/>
        <w:autoSpaceDN w:val="0"/>
        <w:spacing w:line="440" w:lineRule="exact"/>
        <w:ind w:firstLine="420" w:firstLineChars="200"/>
        <w:rPr>
          <w:rFonts w:ascii="宋体" w:hAnsi="宋体" w:cstheme="minorEastAsia"/>
          <w:color w:val="auto"/>
          <w:szCs w:val="21"/>
          <w:highlight w:val="none"/>
        </w:rPr>
      </w:pPr>
      <w:r>
        <w:rPr>
          <w:rFonts w:hint="eastAsia" w:ascii="宋体" w:hAnsi="宋体" w:cstheme="minorEastAsia"/>
          <w:color w:val="auto"/>
          <w:szCs w:val="21"/>
          <w:highlight w:val="none"/>
        </w:rPr>
        <w:t>10.2 本合同项下的采购资金由甲方支付，付款前乙方向甲方开具发票。</w:t>
      </w:r>
    </w:p>
    <w:p w14:paraId="2EC6224F">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10.3 甲方付款方式：</w:t>
      </w:r>
    </w:p>
    <w:p w14:paraId="292E0571">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 xml:space="preserve">（1）合同签订并交纳履约保证金后，中标供应商出具付款申请函、要求的付款资料向采购人申请付款，采购人在收到有效申请函10个工作日内向中标供应商支付合同总价的40%预付款。 </w:t>
      </w:r>
    </w:p>
    <w:p w14:paraId="37DEA463">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（2）安装调试完成，第一次临床培训后，中标供应商出具付款申请函、发票及要求的付款资料申请付款，采购人收到有效发票10个工作日内向中标供应商支付合同总价的55%货款。</w:t>
      </w:r>
    </w:p>
    <w:p w14:paraId="313ABAD4">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（3）设备验收前须有资质检测公司的检测，检测合格并出具设备检测报告，经双方验收，并签署验收报告，设备验收合格后采购人支付剩余款项。</w:t>
      </w:r>
    </w:p>
    <w:p w14:paraId="5B0EB871">
      <w:pPr>
        <w:pStyle w:val="11"/>
        <w:snapToGrid w:val="0"/>
        <w:spacing w:line="440" w:lineRule="exact"/>
        <w:ind w:firstLine="422" w:firstLineChars="200"/>
        <w:rPr>
          <w:rFonts w:hAnsi="宋体" w:cstheme="minorEastAsia"/>
          <w:b/>
          <w:bCs/>
          <w:color w:val="auto"/>
          <w:sz w:val="21"/>
          <w:highlight w:val="none"/>
        </w:rPr>
      </w:pPr>
      <w:r>
        <w:rPr>
          <w:rFonts w:hint="eastAsia" w:hAnsi="宋体" w:cstheme="minorEastAsia"/>
          <w:b/>
          <w:bCs/>
          <w:color w:val="auto"/>
          <w:sz w:val="21"/>
          <w:highlight w:val="none"/>
        </w:rPr>
        <w:t>十一、税费</w:t>
      </w:r>
    </w:p>
    <w:p w14:paraId="10895607">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11.1本合同执行中相关的一切税费均由乙方负担。</w:t>
      </w:r>
    </w:p>
    <w:p w14:paraId="41FF7A2E">
      <w:pPr>
        <w:pStyle w:val="11"/>
        <w:snapToGrid w:val="0"/>
        <w:spacing w:line="440" w:lineRule="exact"/>
        <w:ind w:firstLine="422" w:firstLineChars="200"/>
        <w:rPr>
          <w:rFonts w:hAnsi="宋体" w:cstheme="minorEastAsia"/>
          <w:b/>
          <w:bCs/>
          <w:color w:val="auto"/>
          <w:sz w:val="21"/>
          <w:highlight w:val="none"/>
        </w:rPr>
      </w:pPr>
      <w:r>
        <w:rPr>
          <w:rFonts w:hint="eastAsia" w:hAnsi="宋体" w:cstheme="minorEastAsia"/>
          <w:b/>
          <w:bCs/>
          <w:color w:val="auto"/>
          <w:sz w:val="21"/>
          <w:highlight w:val="none"/>
        </w:rPr>
        <w:t>十二、质量保证及售后服务</w:t>
      </w:r>
    </w:p>
    <w:p w14:paraId="20CEEEED">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12.1 乙方应按招标文件规定的货物及服务性能、技术要求、质量标准向甲方提供。</w:t>
      </w:r>
    </w:p>
    <w:p w14:paraId="2C1B18F2">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12.2 乙方提供的货物及服务在质量期内因服务及产品本身的质量问题发生故障，乙方应负责免费更换。对达不到技术要求者，根据实际情况，经双方协商，可按以下办法处理：</w:t>
      </w:r>
    </w:p>
    <w:p w14:paraId="25B3053C">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⑴更换：由乙方承担所发生的全部费用。</w:t>
      </w:r>
    </w:p>
    <w:p w14:paraId="11C3D01E">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⑵贬值处理：由甲乙双方合议定价。</w:t>
      </w:r>
    </w:p>
    <w:p w14:paraId="1EECACC6">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⑶退还处理：乙方应退还甲方支付的合同款，同时应承担该货物及服务的直接费用（运输、保险、检验、款项利息及银行手续费等）。</w:t>
      </w:r>
    </w:p>
    <w:p w14:paraId="713B73FF">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12.3 如在使用过程中发生质量问题，乙方在接到甲方通知后在______小时内到达甲方现场。</w:t>
      </w:r>
    </w:p>
    <w:p w14:paraId="61606289">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12.4 在质保期内，乙方应对货物及服务出现的质量及安全问题负责处理解决并承担一切费用。</w:t>
      </w:r>
    </w:p>
    <w:p w14:paraId="49246E45">
      <w:pPr>
        <w:autoSpaceDE w:val="0"/>
        <w:autoSpaceDN w:val="0"/>
        <w:adjustRightInd w:val="0"/>
        <w:spacing w:line="440" w:lineRule="exact"/>
        <w:ind w:firstLine="420" w:firstLineChars="200"/>
        <w:jc w:val="left"/>
        <w:rPr>
          <w:rFonts w:ascii="宋体" w:hAnsi="宋体" w:cstheme="minorEastAsia"/>
          <w:color w:val="auto"/>
          <w:szCs w:val="21"/>
          <w:highlight w:val="none"/>
        </w:rPr>
      </w:pPr>
      <w:r>
        <w:rPr>
          <w:rFonts w:hint="eastAsia" w:ascii="宋体" w:hAnsi="宋体" w:cstheme="minorEastAsia"/>
          <w:color w:val="auto"/>
          <w:szCs w:val="21"/>
          <w:highlight w:val="none"/>
        </w:rPr>
        <w:t>12.5上述的货物及服务免费保修期为</w:t>
      </w:r>
      <w:r>
        <w:rPr>
          <w:rFonts w:hint="eastAsia" w:ascii="宋体" w:hAnsi="宋体" w:cstheme="minorEastAsia"/>
          <w:color w:val="auto"/>
          <w:szCs w:val="21"/>
          <w:highlight w:val="none"/>
          <w:u w:val="single"/>
        </w:rPr>
        <w:t xml:space="preserve">   </w:t>
      </w:r>
      <w:r>
        <w:rPr>
          <w:rFonts w:hint="eastAsia" w:ascii="宋体" w:hAnsi="宋体" w:cstheme="minorEastAsia"/>
          <w:color w:val="auto"/>
          <w:szCs w:val="21"/>
          <w:highlight w:val="none"/>
        </w:rPr>
        <w:t>年，因人为因素出现的故障不在免费保修范围内。超过保修期的机器设备，终生维修，维修时只收部件成本费。</w:t>
      </w:r>
    </w:p>
    <w:p w14:paraId="1FA78942">
      <w:pPr>
        <w:pStyle w:val="11"/>
        <w:snapToGrid w:val="0"/>
        <w:spacing w:line="440" w:lineRule="exact"/>
        <w:ind w:firstLine="422" w:firstLineChars="200"/>
        <w:rPr>
          <w:rFonts w:hAnsi="宋体" w:cstheme="minorEastAsia"/>
          <w:b/>
          <w:bCs/>
          <w:color w:val="auto"/>
          <w:sz w:val="21"/>
          <w:highlight w:val="none"/>
        </w:rPr>
      </w:pPr>
      <w:r>
        <w:rPr>
          <w:rFonts w:hint="eastAsia" w:hAnsi="宋体" w:cstheme="minorEastAsia"/>
          <w:b/>
          <w:bCs/>
          <w:color w:val="auto"/>
          <w:sz w:val="21"/>
          <w:highlight w:val="none"/>
        </w:rPr>
        <w:t>十三、调试和验收</w:t>
      </w:r>
    </w:p>
    <w:p w14:paraId="5FB51B83">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13.1 甲方对乙方提供的货物及服务依据招标文件上的技术规格要求和国家有关质量标准进行现场初步验收，外观、说明书符合招标文件技术要求的，给予签收，初步验收不合格的不予签收。交付后，甲方需在五个工作日内验收。</w:t>
      </w:r>
    </w:p>
    <w:p w14:paraId="7691803C">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13.2 乙方交付前应对货物及服务作出全面检查和对验收文件进行整理，并列出清单，作为甲方交付验收和使用的技术条件依据，检验的结果应随货物及服务交甲方。</w:t>
      </w:r>
    </w:p>
    <w:p w14:paraId="740FDF05">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13.3 甲方对乙方提供的货物及服务在使用前进行调试时，乙方需负责安装并培训甲方的使用操作人员，并协助甲方一起调试，直到符合技术要求，甲方才做最终验收。</w:t>
      </w:r>
    </w:p>
    <w:p w14:paraId="0386D706">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13.4 对技术复杂的货物及服务，甲方可请国家认可的专业检测机构参与初步验收及最终验收，并由其出具质量检测报告。</w:t>
      </w:r>
    </w:p>
    <w:p w14:paraId="7D83B794">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13.5 验收时乙方必须在现场，验收完毕后作出验收结果报告；验收费用由甲乙双方协商解决。</w:t>
      </w:r>
    </w:p>
    <w:p w14:paraId="2B044F63">
      <w:pPr>
        <w:pStyle w:val="11"/>
        <w:snapToGrid w:val="0"/>
        <w:spacing w:line="440" w:lineRule="exact"/>
        <w:ind w:firstLine="422" w:firstLineChars="200"/>
        <w:rPr>
          <w:rFonts w:hAnsi="宋体" w:cstheme="minorEastAsia"/>
          <w:b/>
          <w:bCs/>
          <w:color w:val="auto"/>
          <w:sz w:val="21"/>
          <w:highlight w:val="none"/>
        </w:rPr>
      </w:pPr>
      <w:r>
        <w:rPr>
          <w:rFonts w:hint="eastAsia" w:hAnsi="宋体" w:cstheme="minorEastAsia"/>
          <w:b/>
          <w:bCs/>
          <w:color w:val="auto"/>
          <w:sz w:val="21"/>
          <w:highlight w:val="none"/>
        </w:rPr>
        <w:t>十四、货物及服务包装、发运及运输</w:t>
      </w:r>
    </w:p>
    <w:p w14:paraId="623E6751">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14.1 乙方应在货物及服务发运前对其进行满足运输距离、防潮、防震、防锈和防破损装卸等要求包装，以保证货物及服务安全运达甲方指定地点。</w:t>
      </w:r>
    </w:p>
    <w:p w14:paraId="006216BC">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14.2 使用说明书、质量检验证明书、随配附件和工具以及清单一并交付甲方。</w:t>
      </w:r>
    </w:p>
    <w:p w14:paraId="1102801E">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14.3 乙方在货物及服务发运手续办理完毕后24小时内或交付到甲方48小时前通知甲方，以准备接受交付。</w:t>
      </w:r>
    </w:p>
    <w:p w14:paraId="04C4A2E9">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14.4 货物在交付甲方前发生的风险均由乙方负责。</w:t>
      </w:r>
    </w:p>
    <w:p w14:paraId="42C2292A">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14.5 货物及服务在规定的交付期限内由乙方送达甲方指定的地点、并由甲方签收视为交付，乙方同时需通知甲方货物及服务已送达。</w:t>
      </w:r>
    </w:p>
    <w:p w14:paraId="1CC03E53">
      <w:pPr>
        <w:pStyle w:val="11"/>
        <w:snapToGrid w:val="0"/>
        <w:spacing w:line="440" w:lineRule="exact"/>
        <w:ind w:firstLine="422" w:firstLineChars="200"/>
        <w:rPr>
          <w:rFonts w:hAnsi="宋体" w:cstheme="minorEastAsia"/>
          <w:b/>
          <w:bCs/>
          <w:color w:val="auto"/>
          <w:sz w:val="21"/>
          <w:highlight w:val="none"/>
        </w:rPr>
      </w:pPr>
      <w:r>
        <w:rPr>
          <w:rFonts w:hint="eastAsia" w:hAnsi="宋体" w:cstheme="minorEastAsia"/>
          <w:b/>
          <w:bCs/>
          <w:color w:val="auto"/>
          <w:sz w:val="21"/>
          <w:highlight w:val="none"/>
        </w:rPr>
        <w:t>十五、违约责任</w:t>
      </w:r>
    </w:p>
    <w:p w14:paraId="1DDDA4E4">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15.1 甲方无正当理由拒收货物及服务的，甲方向乙方偿付拒收款项总值的百分之五违约金。</w:t>
      </w:r>
    </w:p>
    <w:p w14:paraId="773BFAF6">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15.2 甲方无故逾期验收和办理款项支付手续的,甲方应按逾期付款总额每日万分之五向乙方支付违约金。</w:t>
      </w:r>
    </w:p>
    <w:p w14:paraId="6AA74E48">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 xml:space="preserve">15.3 乙方逾期交付货物及服务的，乙方应按逾期交付总额每日万分之五向甲方支付违约金，由甲方从待付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404FB0B6">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15.4 乙方所交的货物及服务数量、质量不符合合同规定及招标文件规定标准的，甲方有权拒收该货物及服务，乙方愿意更换货物及服务但逾期交付的，按乙方逾期交付处理。乙方拒绝更换货物及服务的，甲方可单方面解除合同。</w:t>
      </w:r>
    </w:p>
    <w:p w14:paraId="595FBB8E">
      <w:pPr>
        <w:pStyle w:val="11"/>
        <w:snapToGrid w:val="0"/>
        <w:spacing w:line="440" w:lineRule="exact"/>
        <w:ind w:firstLine="422" w:firstLineChars="200"/>
        <w:rPr>
          <w:rFonts w:hAnsi="宋体" w:cstheme="minorEastAsia"/>
          <w:b/>
          <w:bCs/>
          <w:color w:val="auto"/>
          <w:sz w:val="21"/>
          <w:highlight w:val="none"/>
        </w:rPr>
      </w:pPr>
      <w:r>
        <w:rPr>
          <w:rFonts w:hint="eastAsia" w:hAnsi="宋体" w:cstheme="minorEastAsia"/>
          <w:b/>
          <w:bCs/>
          <w:color w:val="auto"/>
          <w:sz w:val="21"/>
          <w:highlight w:val="none"/>
        </w:rPr>
        <w:t>十六、不可抗力事件处理</w:t>
      </w:r>
    </w:p>
    <w:p w14:paraId="35F2BF2C">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16.1 在合同有效期内，任何一方因不可抗力事件导致不能履行合同，则合同履行期可延长，其延长期与不可抗力影响期相同。</w:t>
      </w:r>
    </w:p>
    <w:p w14:paraId="5960B335">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16.2 不可抗力事件发生后，应立即通知对方，并寄送有关权威机构出具的证明。</w:t>
      </w:r>
    </w:p>
    <w:p w14:paraId="19C6CF67">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16.3 不可抗力事件延续120天以上，双方应通过友好协商，确定是否继续履行合同。</w:t>
      </w:r>
    </w:p>
    <w:p w14:paraId="4DD61C34">
      <w:pPr>
        <w:pStyle w:val="11"/>
        <w:snapToGrid w:val="0"/>
        <w:spacing w:line="440" w:lineRule="exact"/>
        <w:ind w:firstLine="422" w:firstLineChars="200"/>
        <w:rPr>
          <w:rFonts w:hAnsi="宋体" w:cstheme="minorEastAsia"/>
          <w:b/>
          <w:bCs/>
          <w:color w:val="auto"/>
          <w:sz w:val="21"/>
          <w:highlight w:val="none"/>
        </w:rPr>
      </w:pPr>
      <w:r>
        <w:rPr>
          <w:rFonts w:hint="eastAsia" w:hAnsi="宋体" w:cstheme="minorEastAsia"/>
          <w:b/>
          <w:bCs/>
          <w:color w:val="auto"/>
          <w:sz w:val="21"/>
          <w:highlight w:val="none"/>
        </w:rPr>
        <w:t>十七、诉讼</w:t>
      </w:r>
    </w:p>
    <w:p w14:paraId="38BFB5AC">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17.1 双方在执行合同中所发生的一切争议，应通过协商解决。如协商不成，可向甲方所在地法院起诉。</w:t>
      </w:r>
    </w:p>
    <w:p w14:paraId="46C131ED">
      <w:pPr>
        <w:pStyle w:val="11"/>
        <w:snapToGrid w:val="0"/>
        <w:spacing w:line="440" w:lineRule="exact"/>
        <w:ind w:firstLine="422" w:firstLineChars="200"/>
        <w:rPr>
          <w:rFonts w:hAnsi="宋体" w:cstheme="minorEastAsia"/>
          <w:b/>
          <w:bCs/>
          <w:color w:val="auto"/>
          <w:sz w:val="21"/>
          <w:highlight w:val="none"/>
        </w:rPr>
      </w:pPr>
      <w:r>
        <w:rPr>
          <w:rFonts w:hint="eastAsia" w:hAnsi="宋体" w:cstheme="minorEastAsia"/>
          <w:b/>
          <w:bCs/>
          <w:color w:val="auto"/>
          <w:sz w:val="21"/>
          <w:highlight w:val="none"/>
        </w:rPr>
        <w:t>十八、合同生效及其它</w:t>
      </w:r>
    </w:p>
    <w:p w14:paraId="1298C20B">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19.1 合同经双方法定代表人或授权代表签字并加盖单位公章，并经江苏汇诚投资咨询管理有限公司见证盖章后生效。</w:t>
      </w:r>
    </w:p>
    <w:p w14:paraId="7B947F91">
      <w:pPr>
        <w:pStyle w:val="11"/>
        <w:snapToGrid w:val="0"/>
        <w:spacing w:line="440" w:lineRule="exact"/>
        <w:ind w:firstLine="420" w:firstLineChars="200"/>
        <w:rPr>
          <w:rFonts w:hAnsi="宋体" w:cstheme="minorEastAsia"/>
          <w:color w:val="auto"/>
          <w:sz w:val="21"/>
          <w:highlight w:val="none"/>
        </w:rPr>
      </w:pPr>
      <w:r>
        <w:rPr>
          <w:rFonts w:hint="eastAsia" w:hAnsi="宋体" w:cstheme="minorEastAsia"/>
          <w:color w:val="auto"/>
          <w:sz w:val="21"/>
          <w:highlight w:val="none"/>
        </w:rPr>
        <w:t>19.2本合同未尽事宜，遵照《民法典》有关条文执行。</w:t>
      </w:r>
    </w:p>
    <w:p w14:paraId="24CC73A4">
      <w:pPr>
        <w:pStyle w:val="11"/>
        <w:snapToGrid w:val="0"/>
        <w:spacing w:line="440" w:lineRule="exact"/>
        <w:ind w:firstLine="420" w:firstLineChars="200"/>
        <w:rPr>
          <w:rFonts w:hAnsi="宋体"/>
          <w:color w:val="auto"/>
          <w:sz w:val="21"/>
          <w:highlight w:val="none"/>
        </w:rPr>
      </w:pPr>
      <w:r>
        <w:rPr>
          <w:rFonts w:hint="eastAsia" w:hAnsi="宋体" w:cstheme="minorEastAsia"/>
          <w:color w:val="auto"/>
          <w:sz w:val="21"/>
          <w:highlight w:val="none"/>
        </w:rPr>
        <w:t xml:space="preserve">19.3 本合同正本一式四份，具有同等法律效力，甲方、乙方、见证方及财政监管部门各执一份。   </w:t>
      </w:r>
    </w:p>
    <w:tbl>
      <w:tblPr>
        <w:tblStyle w:val="21"/>
        <w:tblW w:w="8522" w:type="dxa"/>
        <w:tblInd w:w="135" w:type="dxa"/>
        <w:tblLayout w:type="fixed"/>
        <w:tblCellMar>
          <w:top w:w="0" w:type="dxa"/>
          <w:left w:w="108" w:type="dxa"/>
          <w:bottom w:w="0" w:type="dxa"/>
          <w:right w:w="108" w:type="dxa"/>
        </w:tblCellMar>
      </w:tblPr>
      <w:tblGrid>
        <w:gridCol w:w="4284"/>
        <w:gridCol w:w="4238"/>
      </w:tblGrid>
      <w:tr w14:paraId="70F91EBD">
        <w:tblPrEx>
          <w:tblCellMar>
            <w:top w:w="0" w:type="dxa"/>
            <w:left w:w="108" w:type="dxa"/>
            <w:bottom w:w="0" w:type="dxa"/>
            <w:right w:w="108" w:type="dxa"/>
          </w:tblCellMar>
        </w:tblPrEx>
        <w:tc>
          <w:tcPr>
            <w:tcW w:w="4284" w:type="dxa"/>
            <w:tcBorders>
              <w:top w:val="nil"/>
              <w:left w:val="nil"/>
              <w:bottom w:val="nil"/>
              <w:right w:val="nil"/>
            </w:tcBorders>
          </w:tcPr>
          <w:p w14:paraId="64996A0A">
            <w:pPr>
              <w:pStyle w:val="11"/>
              <w:snapToGrid w:val="0"/>
              <w:spacing w:before="120" w:after="120" w:line="360" w:lineRule="auto"/>
              <w:rPr>
                <w:rFonts w:hAnsi="宋体"/>
                <w:color w:val="auto"/>
                <w:kern w:val="2"/>
                <w:sz w:val="21"/>
                <w:highlight w:val="none"/>
              </w:rPr>
            </w:pPr>
            <w:r>
              <w:rPr>
                <w:rFonts w:hint="eastAsia" w:hAnsi="宋体"/>
                <w:color w:val="auto"/>
                <w:kern w:val="2"/>
                <w:sz w:val="21"/>
                <w:highlight w:val="none"/>
              </w:rPr>
              <w:t>甲方：江苏省复员退伍军人精神病医院</w:t>
            </w:r>
          </w:p>
        </w:tc>
        <w:tc>
          <w:tcPr>
            <w:tcW w:w="4238" w:type="dxa"/>
            <w:tcBorders>
              <w:top w:val="nil"/>
              <w:left w:val="nil"/>
              <w:bottom w:val="nil"/>
              <w:right w:val="nil"/>
            </w:tcBorders>
          </w:tcPr>
          <w:p w14:paraId="647CDC81">
            <w:pPr>
              <w:pStyle w:val="11"/>
              <w:snapToGrid w:val="0"/>
              <w:spacing w:before="120" w:after="120" w:line="360" w:lineRule="auto"/>
              <w:rPr>
                <w:rFonts w:hAnsi="宋体"/>
                <w:color w:val="auto"/>
                <w:kern w:val="2"/>
                <w:sz w:val="21"/>
                <w:highlight w:val="none"/>
              </w:rPr>
            </w:pPr>
            <w:r>
              <w:rPr>
                <w:rFonts w:hint="eastAsia" w:hAnsi="宋体"/>
                <w:color w:val="auto"/>
                <w:kern w:val="2"/>
                <w:sz w:val="21"/>
                <w:highlight w:val="none"/>
              </w:rPr>
              <w:t xml:space="preserve">乙方： </w:t>
            </w:r>
          </w:p>
        </w:tc>
      </w:tr>
      <w:tr w14:paraId="1C0B64C9">
        <w:tblPrEx>
          <w:tblCellMar>
            <w:top w:w="0" w:type="dxa"/>
            <w:left w:w="108" w:type="dxa"/>
            <w:bottom w:w="0" w:type="dxa"/>
            <w:right w:w="108" w:type="dxa"/>
          </w:tblCellMar>
        </w:tblPrEx>
        <w:tc>
          <w:tcPr>
            <w:tcW w:w="4284" w:type="dxa"/>
            <w:tcBorders>
              <w:top w:val="nil"/>
              <w:left w:val="nil"/>
              <w:bottom w:val="nil"/>
              <w:right w:val="nil"/>
            </w:tcBorders>
          </w:tcPr>
          <w:p w14:paraId="1B24C713">
            <w:pPr>
              <w:pStyle w:val="11"/>
              <w:snapToGrid w:val="0"/>
              <w:spacing w:before="120" w:after="120" w:line="360" w:lineRule="auto"/>
              <w:rPr>
                <w:rFonts w:hAnsi="宋体"/>
                <w:color w:val="auto"/>
                <w:kern w:val="2"/>
                <w:sz w:val="21"/>
                <w:highlight w:val="none"/>
              </w:rPr>
            </w:pPr>
            <w:r>
              <w:rPr>
                <w:rFonts w:hint="eastAsia" w:hAnsi="宋体"/>
                <w:color w:val="auto"/>
                <w:kern w:val="2"/>
                <w:sz w:val="21"/>
                <w:highlight w:val="none"/>
              </w:rPr>
              <w:t>地址：</w:t>
            </w:r>
          </w:p>
        </w:tc>
        <w:tc>
          <w:tcPr>
            <w:tcW w:w="4238" w:type="dxa"/>
            <w:tcBorders>
              <w:top w:val="nil"/>
              <w:left w:val="nil"/>
              <w:bottom w:val="nil"/>
              <w:right w:val="nil"/>
            </w:tcBorders>
          </w:tcPr>
          <w:p w14:paraId="5FE03C8D">
            <w:pPr>
              <w:pStyle w:val="11"/>
              <w:snapToGrid w:val="0"/>
              <w:spacing w:before="120" w:after="120" w:line="360" w:lineRule="auto"/>
              <w:rPr>
                <w:rFonts w:hAnsi="宋体"/>
                <w:color w:val="auto"/>
                <w:kern w:val="2"/>
                <w:sz w:val="21"/>
                <w:highlight w:val="none"/>
              </w:rPr>
            </w:pPr>
            <w:r>
              <w:rPr>
                <w:rFonts w:hint="eastAsia" w:hAnsi="宋体"/>
                <w:color w:val="auto"/>
                <w:kern w:val="2"/>
                <w:sz w:val="21"/>
                <w:highlight w:val="none"/>
              </w:rPr>
              <w:t xml:space="preserve">地址： </w:t>
            </w:r>
          </w:p>
        </w:tc>
      </w:tr>
      <w:tr w14:paraId="263435BD">
        <w:tblPrEx>
          <w:tblCellMar>
            <w:top w:w="0" w:type="dxa"/>
            <w:left w:w="108" w:type="dxa"/>
            <w:bottom w:w="0" w:type="dxa"/>
            <w:right w:w="108" w:type="dxa"/>
          </w:tblCellMar>
        </w:tblPrEx>
        <w:tc>
          <w:tcPr>
            <w:tcW w:w="4284" w:type="dxa"/>
            <w:tcBorders>
              <w:top w:val="nil"/>
              <w:left w:val="nil"/>
              <w:bottom w:val="nil"/>
              <w:right w:val="nil"/>
            </w:tcBorders>
          </w:tcPr>
          <w:p w14:paraId="1CD4EF5D">
            <w:pPr>
              <w:pStyle w:val="11"/>
              <w:snapToGrid w:val="0"/>
              <w:spacing w:before="120" w:after="120" w:line="360" w:lineRule="auto"/>
              <w:rPr>
                <w:rFonts w:hAnsi="宋体"/>
                <w:color w:val="auto"/>
                <w:kern w:val="2"/>
                <w:sz w:val="21"/>
                <w:highlight w:val="none"/>
              </w:rPr>
            </w:pPr>
            <w:r>
              <w:rPr>
                <w:rFonts w:hint="eastAsia" w:hAnsi="宋体"/>
                <w:color w:val="auto"/>
                <w:kern w:val="2"/>
                <w:sz w:val="21"/>
                <w:highlight w:val="none"/>
              </w:rPr>
              <w:t>法定代表人或授权代表：</w:t>
            </w:r>
          </w:p>
        </w:tc>
        <w:tc>
          <w:tcPr>
            <w:tcW w:w="4238" w:type="dxa"/>
            <w:tcBorders>
              <w:top w:val="nil"/>
              <w:left w:val="nil"/>
              <w:bottom w:val="nil"/>
              <w:right w:val="nil"/>
            </w:tcBorders>
          </w:tcPr>
          <w:p w14:paraId="485A315E">
            <w:pPr>
              <w:pStyle w:val="11"/>
              <w:snapToGrid w:val="0"/>
              <w:spacing w:before="120" w:after="120" w:line="360" w:lineRule="auto"/>
              <w:rPr>
                <w:rFonts w:hAnsi="宋体"/>
                <w:color w:val="auto"/>
                <w:kern w:val="2"/>
                <w:sz w:val="21"/>
                <w:highlight w:val="none"/>
              </w:rPr>
            </w:pPr>
            <w:r>
              <w:rPr>
                <w:rFonts w:hint="eastAsia" w:hAnsi="宋体"/>
                <w:color w:val="auto"/>
                <w:kern w:val="2"/>
                <w:sz w:val="21"/>
                <w:highlight w:val="none"/>
              </w:rPr>
              <w:t>法定代表人或授权代表：</w:t>
            </w:r>
          </w:p>
        </w:tc>
      </w:tr>
      <w:tr w14:paraId="46235C65">
        <w:tblPrEx>
          <w:tblCellMar>
            <w:top w:w="0" w:type="dxa"/>
            <w:left w:w="108" w:type="dxa"/>
            <w:bottom w:w="0" w:type="dxa"/>
            <w:right w:w="108" w:type="dxa"/>
          </w:tblCellMar>
        </w:tblPrEx>
        <w:tc>
          <w:tcPr>
            <w:tcW w:w="4284" w:type="dxa"/>
            <w:tcBorders>
              <w:top w:val="nil"/>
              <w:left w:val="nil"/>
              <w:bottom w:val="nil"/>
              <w:right w:val="nil"/>
            </w:tcBorders>
          </w:tcPr>
          <w:p w14:paraId="11417E46">
            <w:pPr>
              <w:pStyle w:val="11"/>
              <w:snapToGrid w:val="0"/>
              <w:spacing w:before="120" w:after="120" w:line="360" w:lineRule="auto"/>
              <w:rPr>
                <w:rFonts w:hAnsi="宋体"/>
                <w:color w:val="auto"/>
                <w:kern w:val="2"/>
                <w:sz w:val="21"/>
                <w:highlight w:val="none"/>
              </w:rPr>
            </w:pPr>
            <w:r>
              <w:rPr>
                <w:rFonts w:hint="eastAsia" w:hAnsi="宋体"/>
                <w:color w:val="auto"/>
                <w:kern w:val="2"/>
                <w:sz w:val="21"/>
                <w:highlight w:val="none"/>
              </w:rPr>
              <w:t>联系电话：</w:t>
            </w:r>
          </w:p>
        </w:tc>
        <w:tc>
          <w:tcPr>
            <w:tcW w:w="4238" w:type="dxa"/>
            <w:tcBorders>
              <w:top w:val="nil"/>
              <w:left w:val="nil"/>
              <w:bottom w:val="nil"/>
              <w:right w:val="nil"/>
            </w:tcBorders>
          </w:tcPr>
          <w:p w14:paraId="74F32726">
            <w:pPr>
              <w:pStyle w:val="11"/>
              <w:snapToGrid w:val="0"/>
              <w:spacing w:before="120" w:after="120" w:line="360" w:lineRule="auto"/>
              <w:rPr>
                <w:rFonts w:hAnsi="宋体"/>
                <w:color w:val="auto"/>
                <w:kern w:val="2"/>
                <w:sz w:val="21"/>
                <w:highlight w:val="none"/>
              </w:rPr>
            </w:pPr>
            <w:r>
              <w:rPr>
                <w:rFonts w:hint="eastAsia" w:hAnsi="宋体"/>
                <w:color w:val="auto"/>
                <w:kern w:val="2"/>
                <w:sz w:val="21"/>
                <w:highlight w:val="none"/>
              </w:rPr>
              <w:t>联系电话：</w:t>
            </w:r>
          </w:p>
        </w:tc>
      </w:tr>
      <w:tr w14:paraId="74AF1453">
        <w:tblPrEx>
          <w:tblCellMar>
            <w:top w:w="0" w:type="dxa"/>
            <w:left w:w="108" w:type="dxa"/>
            <w:bottom w:w="0" w:type="dxa"/>
            <w:right w:w="108" w:type="dxa"/>
          </w:tblCellMar>
        </w:tblPrEx>
        <w:tc>
          <w:tcPr>
            <w:tcW w:w="4284" w:type="dxa"/>
            <w:tcBorders>
              <w:top w:val="nil"/>
              <w:left w:val="nil"/>
              <w:bottom w:val="nil"/>
              <w:right w:val="nil"/>
            </w:tcBorders>
          </w:tcPr>
          <w:p w14:paraId="0FBB9B67">
            <w:pPr>
              <w:pStyle w:val="11"/>
              <w:snapToGrid w:val="0"/>
              <w:spacing w:before="120" w:after="120" w:line="360" w:lineRule="auto"/>
              <w:rPr>
                <w:rFonts w:hAnsi="宋体"/>
                <w:color w:val="auto"/>
                <w:kern w:val="2"/>
                <w:sz w:val="21"/>
                <w:highlight w:val="none"/>
              </w:rPr>
            </w:pPr>
            <w:r>
              <w:rPr>
                <w:rFonts w:hint="eastAsia" w:hAnsi="宋体"/>
                <w:color w:val="auto"/>
                <w:kern w:val="2"/>
                <w:sz w:val="21"/>
                <w:highlight w:val="none"/>
              </w:rPr>
              <w:t xml:space="preserve">日期：      年    月    日  </w:t>
            </w:r>
          </w:p>
        </w:tc>
        <w:tc>
          <w:tcPr>
            <w:tcW w:w="4238" w:type="dxa"/>
            <w:tcBorders>
              <w:top w:val="nil"/>
              <w:left w:val="nil"/>
              <w:bottom w:val="nil"/>
              <w:right w:val="nil"/>
            </w:tcBorders>
          </w:tcPr>
          <w:p w14:paraId="18D096BC">
            <w:pPr>
              <w:pStyle w:val="11"/>
              <w:snapToGrid w:val="0"/>
              <w:spacing w:before="120" w:after="120" w:line="360" w:lineRule="auto"/>
              <w:rPr>
                <w:rFonts w:hAnsi="宋体"/>
                <w:color w:val="auto"/>
                <w:kern w:val="2"/>
                <w:sz w:val="21"/>
                <w:highlight w:val="none"/>
              </w:rPr>
            </w:pPr>
            <w:r>
              <w:rPr>
                <w:rFonts w:hint="eastAsia" w:hAnsi="宋体"/>
                <w:color w:val="auto"/>
                <w:kern w:val="2"/>
                <w:sz w:val="21"/>
                <w:highlight w:val="none"/>
              </w:rPr>
              <w:t>日期：      年    月    日</w:t>
            </w:r>
          </w:p>
        </w:tc>
      </w:tr>
      <w:tr w14:paraId="17B15A92">
        <w:tblPrEx>
          <w:tblCellMar>
            <w:top w:w="0" w:type="dxa"/>
            <w:left w:w="108" w:type="dxa"/>
            <w:bottom w:w="0" w:type="dxa"/>
            <w:right w:w="108" w:type="dxa"/>
          </w:tblCellMar>
        </w:tblPrEx>
        <w:tc>
          <w:tcPr>
            <w:tcW w:w="4284" w:type="dxa"/>
            <w:tcBorders>
              <w:top w:val="nil"/>
              <w:left w:val="nil"/>
              <w:bottom w:val="nil"/>
              <w:right w:val="nil"/>
            </w:tcBorders>
          </w:tcPr>
          <w:p w14:paraId="6745B6C5">
            <w:pPr>
              <w:pStyle w:val="11"/>
              <w:snapToGrid w:val="0"/>
              <w:spacing w:before="120" w:after="120" w:line="360" w:lineRule="auto"/>
              <w:rPr>
                <w:rFonts w:hAnsi="宋体"/>
                <w:color w:val="auto"/>
                <w:kern w:val="2"/>
                <w:sz w:val="21"/>
                <w:highlight w:val="none"/>
              </w:rPr>
            </w:pPr>
          </w:p>
        </w:tc>
        <w:tc>
          <w:tcPr>
            <w:tcW w:w="4238" w:type="dxa"/>
            <w:tcBorders>
              <w:top w:val="nil"/>
              <w:left w:val="nil"/>
              <w:bottom w:val="nil"/>
              <w:right w:val="nil"/>
            </w:tcBorders>
          </w:tcPr>
          <w:p w14:paraId="445D3A70">
            <w:pPr>
              <w:pStyle w:val="11"/>
              <w:snapToGrid w:val="0"/>
              <w:spacing w:before="120" w:after="120" w:line="360" w:lineRule="auto"/>
              <w:rPr>
                <w:rFonts w:hAnsi="宋体"/>
                <w:color w:val="auto"/>
                <w:kern w:val="2"/>
                <w:sz w:val="21"/>
                <w:highlight w:val="none"/>
              </w:rPr>
            </w:pPr>
          </w:p>
        </w:tc>
      </w:tr>
    </w:tbl>
    <w:p w14:paraId="40A88495">
      <w:pPr>
        <w:pStyle w:val="11"/>
        <w:snapToGrid w:val="0"/>
        <w:spacing w:before="120" w:after="120" w:line="360" w:lineRule="auto"/>
        <w:rPr>
          <w:rFonts w:hAnsi="宋体"/>
          <w:color w:val="auto"/>
          <w:sz w:val="28"/>
          <w:szCs w:val="28"/>
          <w:highlight w:val="none"/>
        </w:rPr>
      </w:pPr>
    </w:p>
    <w:p w14:paraId="50014671">
      <w:pPr>
        <w:pStyle w:val="11"/>
        <w:snapToGrid w:val="0"/>
        <w:spacing w:before="120" w:after="120" w:line="360" w:lineRule="auto"/>
        <w:rPr>
          <w:rFonts w:hAnsi="宋体"/>
          <w:color w:val="auto"/>
          <w:kern w:val="2"/>
          <w:sz w:val="21"/>
          <w:highlight w:val="none"/>
        </w:rPr>
      </w:pPr>
      <w:r>
        <w:rPr>
          <w:rFonts w:hint="eastAsia" w:hAnsi="宋体"/>
          <w:color w:val="auto"/>
          <w:kern w:val="2"/>
          <w:sz w:val="21"/>
          <w:highlight w:val="none"/>
        </w:rPr>
        <w:t>见证方：江苏汇诚投资咨询管理有限公司</w:t>
      </w:r>
    </w:p>
    <w:p w14:paraId="5A1D6327">
      <w:pPr>
        <w:pStyle w:val="11"/>
        <w:snapToGrid w:val="0"/>
        <w:spacing w:before="120" w:after="120" w:line="360" w:lineRule="auto"/>
        <w:rPr>
          <w:rFonts w:hAnsi="宋体"/>
          <w:color w:val="auto"/>
          <w:kern w:val="2"/>
          <w:sz w:val="21"/>
          <w:highlight w:val="none"/>
        </w:rPr>
      </w:pPr>
      <w:r>
        <w:rPr>
          <w:rFonts w:hint="eastAsia" w:hAnsi="宋体"/>
          <w:color w:val="auto"/>
          <w:kern w:val="2"/>
          <w:sz w:val="21"/>
          <w:highlight w:val="none"/>
        </w:rPr>
        <w:t>地址：扬州市邗江北路68号旺角三楼</w:t>
      </w:r>
    </w:p>
    <w:p w14:paraId="736F856E">
      <w:pPr>
        <w:pStyle w:val="11"/>
        <w:snapToGrid w:val="0"/>
        <w:spacing w:before="120" w:after="120" w:line="360" w:lineRule="auto"/>
        <w:rPr>
          <w:rFonts w:hAnsi="宋体"/>
          <w:color w:val="auto"/>
          <w:kern w:val="2"/>
          <w:sz w:val="21"/>
          <w:highlight w:val="none"/>
        </w:rPr>
      </w:pPr>
      <w:r>
        <w:rPr>
          <w:rFonts w:hint="eastAsia" w:hAnsi="宋体"/>
          <w:color w:val="auto"/>
          <w:kern w:val="2"/>
          <w:sz w:val="21"/>
          <w:highlight w:val="none"/>
        </w:rPr>
        <w:t>经办人：</w:t>
      </w:r>
    </w:p>
    <w:p w14:paraId="55352567">
      <w:pPr>
        <w:pStyle w:val="11"/>
        <w:snapToGrid w:val="0"/>
        <w:spacing w:before="120" w:after="120" w:line="360" w:lineRule="auto"/>
        <w:rPr>
          <w:rFonts w:hAnsi="宋体"/>
          <w:color w:val="auto"/>
          <w:kern w:val="2"/>
          <w:sz w:val="21"/>
          <w:highlight w:val="none"/>
        </w:rPr>
      </w:pPr>
      <w:r>
        <w:rPr>
          <w:rFonts w:hint="eastAsia" w:hAnsi="宋体"/>
          <w:color w:val="auto"/>
          <w:kern w:val="2"/>
          <w:sz w:val="21"/>
          <w:highlight w:val="none"/>
        </w:rPr>
        <w:t>联系电话：</w:t>
      </w:r>
    </w:p>
    <w:p w14:paraId="2B07E98F">
      <w:pPr>
        <w:pStyle w:val="11"/>
        <w:snapToGrid w:val="0"/>
        <w:spacing w:before="120" w:after="120" w:line="360" w:lineRule="auto"/>
        <w:rPr>
          <w:rFonts w:hAnsi="宋体"/>
          <w:color w:val="auto"/>
          <w:kern w:val="2"/>
          <w:sz w:val="21"/>
          <w:highlight w:val="none"/>
        </w:rPr>
      </w:pPr>
      <w:r>
        <w:rPr>
          <w:rFonts w:hint="eastAsia" w:hAnsi="宋体"/>
          <w:color w:val="auto"/>
          <w:kern w:val="2"/>
          <w:sz w:val="21"/>
          <w:highlight w:val="none"/>
        </w:rPr>
        <w:t>日期：2024年    月    日</w:t>
      </w:r>
    </w:p>
    <w:p w14:paraId="7E13BDE4">
      <w:pPr>
        <w:pStyle w:val="11"/>
        <w:snapToGrid w:val="0"/>
        <w:spacing w:before="120" w:after="120" w:line="360" w:lineRule="auto"/>
        <w:ind w:firstLine="210" w:firstLineChars="100"/>
        <w:rPr>
          <w:rFonts w:hAnsi="宋体"/>
          <w:color w:val="auto"/>
          <w:sz w:val="21"/>
          <w:highlight w:val="none"/>
        </w:rPr>
      </w:pPr>
      <w:r>
        <w:rPr>
          <w:rFonts w:hint="eastAsia" w:hAnsi="宋体"/>
          <w:color w:val="auto"/>
          <w:sz w:val="21"/>
          <w:highlight w:val="none"/>
        </w:rPr>
        <w:t xml:space="preserve"> </w:t>
      </w:r>
    </w:p>
    <w:p w14:paraId="1871CC6B">
      <w:pPr>
        <w:spacing w:line="360" w:lineRule="auto"/>
        <w:rPr>
          <w:rFonts w:ascii="宋体" w:hAnsi="宋体"/>
          <w:color w:val="auto"/>
          <w:highlight w:val="none"/>
        </w:rPr>
      </w:pPr>
      <w:r>
        <w:rPr>
          <w:rFonts w:ascii="宋体" w:hAnsi="宋体"/>
          <w:color w:val="auto"/>
          <w:highlight w:val="none"/>
        </w:rPr>
        <w:br w:type="page"/>
      </w:r>
      <w:bookmarkEnd w:id="59"/>
    </w:p>
    <w:p w14:paraId="4E83C0C2">
      <w:pPr>
        <w:pStyle w:val="2"/>
        <w:numPr>
          <w:ilvl w:val="0"/>
          <w:numId w:val="2"/>
        </w:numPr>
        <w:spacing w:line="360" w:lineRule="auto"/>
        <w:jc w:val="center"/>
        <w:rPr>
          <w:rFonts w:ascii="宋体" w:hAnsi="宋体"/>
          <w:color w:val="auto"/>
          <w:highlight w:val="none"/>
        </w:rPr>
      </w:pPr>
      <w:r>
        <w:rPr>
          <w:rFonts w:hint="eastAsia" w:ascii="宋体" w:hAnsi="宋体"/>
          <w:color w:val="auto"/>
          <w:highlight w:val="none"/>
        </w:rPr>
        <w:t>项目需求</w:t>
      </w:r>
    </w:p>
    <w:p w14:paraId="0098289D">
      <w:pPr>
        <w:spacing w:line="360" w:lineRule="auto"/>
        <w:ind w:firstLine="420"/>
        <w:rPr>
          <w:rFonts w:ascii="宋体" w:hAnsi="宋体" w:cstheme="minorEastAsia"/>
          <w:b/>
          <w:bCs/>
          <w:color w:val="auto"/>
          <w:szCs w:val="21"/>
          <w:highlight w:val="none"/>
        </w:rPr>
      </w:pPr>
      <w:r>
        <w:rPr>
          <w:rFonts w:hint="eastAsia" w:ascii="宋体" w:hAnsi="宋体" w:cstheme="minorEastAsia"/>
          <w:b/>
          <w:color w:val="auto"/>
          <w:szCs w:val="21"/>
          <w:highlight w:val="none"/>
        </w:rPr>
        <w:t>本项目设置最高限价，最高限价为1200万元</w:t>
      </w:r>
      <w:r>
        <w:rPr>
          <w:rFonts w:hint="eastAsia" w:ascii="宋体" w:hAnsi="宋体"/>
          <w:color w:val="auto"/>
          <w:szCs w:val="21"/>
          <w:highlight w:val="none"/>
        </w:rPr>
        <w:t>，</w:t>
      </w:r>
      <w:r>
        <w:rPr>
          <w:rFonts w:hint="eastAsia" w:ascii="宋体" w:hAnsi="宋体" w:cs="宋体"/>
          <w:color w:val="auto"/>
          <w:highlight w:val="none"/>
        </w:rPr>
        <w:t>报价超过最高限价的为无效报价，按照无效响应处理。</w:t>
      </w:r>
      <w:r>
        <w:rPr>
          <w:rFonts w:hint="eastAsia" w:ascii="宋体" w:hAnsi="宋体"/>
          <w:color w:val="auto"/>
          <w:szCs w:val="21"/>
          <w:highlight w:val="none"/>
        </w:rPr>
        <w:t>以下技术参数内容为参考标准，供应商应根据自身产品实际情况提供满足使用需求、性能等于或高于以下技术参数标准的产品。如在各技术参数中仅为某一品牌或型号所特有的，仅起说明作用，并没有任何限制性，供应商可以选用替代标准。</w:t>
      </w:r>
    </w:p>
    <w:p w14:paraId="6ECC063D">
      <w:pPr>
        <w:numPr>
          <w:ilvl w:val="0"/>
          <w:numId w:val="3"/>
        </w:numPr>
        <w:spacing w:line="440" w:lineRule="exact"/>
        <w:jc w:val="left"/>
        <w:rPr>
          <w:color w:val="auto"/>
          <w:highlight w:val="none"/>
        </w:rPr>
      </w:pPr>
      <w:bookmarkStart w:id="60" w:name="_Toc55204181"/>
      <w:r>
        <w:rPr>
          <w:rFonts w:hint="eastAsia" w:ascii="宋体" w:hAnsi="宋体"/>
          <w:b/>
          <w:color w:val="auto"/>
          <w:szCs w:val="21"/>
          <w:highlight w:val="none"/>
        </w:rPr>
        <w:t>采购货物清单及参数要求</w:t>
      </w:r>
    </w:p>
    <w:p w14:paraId="43D6A65E">
      <w:pPr>
        <w:spacing w:line="360" w:lineRule="auto"/>
        <w:ind w:firstLine="420"/>
        <w:rPr>
          <w:rFonts w:ascii="宋体" w:hAnsi="宋体"/>
          <w:color w:val="auto"/>
          <w:szCs w:val="21"/>
          <w:highlight w:val="none"/>
        </w:rPr>
      </w:pPr>
      <w:r>
        <w:rPr>
          <w:rFonts w:hint="eastAsia" w:ascii="宋体" w:hAnsi="宋体"/>
          <w:color w:val="auto"/>
          <w:szCs w:val="21"/>
          <w:highlight w:val="none"/>
        </w:rPr>
        <w:t>数量：一套</w:t>
      </w:r>
    </w:p>
    <w:tbl>
      <w:tblPr>
        <w:tblStyle w:val="21"/>
        <w:tblW w:w="9572"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268"/>
        <w:gridCol w:w="2767"/>
        <w:gridCol w:w="5537"/>
      </w:tblGrid>
      <w:tr w14:paraId="55CB91C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1F041169">
            <w:pPr>
              <w:snapToGrid w:val="0"/>
              <w:spacing w:line="440" w:lineRule="exact"/>
              <w:jc w:val="center"/>
              <w:rPr>
                <w:rFonts w:ascii="宋体" w:hAnsi="宋体" w:cs="宋体"/>
                <w:b/>
                <w:bCs/>
                <w:color w:val="auto"/>
                <w:szCs w:val="21"/>
                <w:highlight w:val="none"/>
              </w:rPr>
            </w:pPr>
            <w:r>
              <w:rPr>
                <w:rFonts w:hint="eastAsia" w:ascii="宋体" w:hAnsi="宋体" w:cs="宋体"/>
                <w:b/>
                <w:bCs/>
                <w:color w:val="auto"/>
                <w:szCs w:val="21"/>
                <w:highlight w:val="none"/>
              </w:rPr>
              <w:t>序号</w:t>
            </w:r>
          </w:p>
        </w:tc>
        <w:tc>
          <w:tcPr>
            <w:tcW w:w="2767" w:type="dxa"/>
            <w:vAlign w:val="center"/>
          </w:tcPr>
          <w:p w14:paraId="0AEDB434">
            <w:pPr>
              <w:snapToGrid w:val="0"/>
              <w:spacing w:line="440" w:lineRule="exact"/>
              <w:jc w:val="center"/>
              <w:rPr>
                <w:rFonts w:ascii="宋体" w:hAnsi="宋体" w:cs="宋体"/>
                <w:b/>
                <w:bCs/>
                <w:color w:val="auto"/>
                <w:szCs w:val="21"/>
                <w:highlight w:val="none"/>
              </w:rPr>
            </w:pPr>
            <w:r>
              <w:rPr>
                <w:rFonts w:hint="eastAsia" w:ascii="宋体" w:hAnsi="宋体" w:cs="宋体"/>
                <w:b/>
                <w:bCs/>
                <w:color w:val="auto"/>
                <w:szCs w:val="21"/>
                <w:highlight w:val="none"/>
              </w:rPr>
              <w:t>技术参数名称</w:t>
            </w:r>
          </w:p>
        </w:tc>
        <w:tc>
          <w:tcPr>
            <w:tcW w:w="5537" w:type="dxa"/>
            <w:vAlign w:val="center"/>
          </w:tcPr>
          <w:p w14:paraId="0FD9893E">
            <w:pPr>
              <w:snapToGrid w:val="0"/>
              <w:spacing w:line="440" w:lineRule="exact"/>
              <w:jc w:val="center"/>
              <w:rPr>
                <w:rFonts w:ascii="宋体" w:hAnsi="宋体" w:cs="宋体"/>
                <w:b/>
                <w:bCs/>
                <w:color w:val="auto"/>
                <w:szCs w:val="21"/>
                <w:highlight w:val="none"/>
              </w:rPr>
            </w:pPr>
            <w:r>
              <w:rPr>
                <w:rFonts w:hint="eastAsia" w:ascii="宋体" w:hAnsi="宋体" w:cs="宋体"/>
                <w:b/>
                <w:bCs/>
                <w:color w:val="auto"/>
                <w:szCs w:val="21"/>
                <w:highlight w:val="none"/>
              </w:rPr>
              <w:t>招标规格要求</w:t>
            </w:r>
          </w:p>
        </w:tc>
      </w:tr>
      <w:tr w14:paraId="5509A98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1268" w:type="dxa"/>
            <w:vAlign w:val="center"/>
          </w:tcPr>
          <w:p w14:paraId="63488281">
            <w:pPr>
              <w:pStyle w:val="37"/>
              <w:numPr>
                <w:ilvl w:val="0"/>
                <w:numId w:val="4"/>
              </w:numPr>
              <w:snapToGrid w:val="0"/>
              <w:spacing w:line="440" w:lineRule="exact"/>
              <w:ind w:firstLineChars="0"/>
              <w:jc w:val="center"/>
              <w:rPr>
                <w:rFonts w:ascii="宋体" w:hAnsi="宋体" w:cs="宋体"/>
                <w:b/>
                <w:bCs/>
                <w:color w:val="auto"/>
                <w:szCs w:val="21"/>
                <w:highlight w:val="none"/>
              </w:rPr>
            </w:pPr>
          </w:p>
        </w:tc>
        <w:tc>
          <w:tcPr>
            <w:tcW w:w="2767" w:type="dxa"/>
            <w:vAlign w:val="center"/>
          </w:tcPr>
          <w:p w14:paraId="0094AB2E">
            <w:pPr>
              <w:snapToGrid w:val="0"/>
              <w:spacing w:line="440" w:lineRule="exact"/>
              <w:rPr>
                <w:rFonts w:ascii="宋体" w:hAnsi="宋体" w:cs="宋体"/>
                <w:b/>
                <w:bCs/>
                <w:color w:val="auto"/>
                <w:szCs w:val="21"/>
                <w:highlight w:val="none"/>
              </w:rPr>
            </w:pPr>
            <w:r>
              <w:rPr>
                <w:rFonts w:hint="eastAsia" w:ascii="宋体" w:hAnsi="宋体" w:cs="宋体"/>
                <w:b/>
                <w:bCs/>
                <w:color w:val="auto"/>
                <w:szCs w:val="21"/>
                <w:highlight w:val="none"/>
              </w:rPr>
              <w:t>设备先进性总体要求</w:t>
            </w:r>
          </w:p>
        </w:tc>
        <w:tc>
          <w:tcPr>
            <w:tcW w:w="5537" w:type="dxa"/>
            <w:vAlign w:val="center"/>
          </w:tcPr>
          <w:p w14:paraId="03C1DE85">
            <w:pPr>
              <w:snapToGrid w:val="0"/>
              <w:spacing w:line="440" w:lineRule="exact"/>
              <w:rPr>
                <w:rFonts w:ascii="宋体" w:hAnsi="宋体" w:cs="宋体"/>
                <w:b/>
                <w:bCs/>
                <w:color w:val="auto"/>
                <w:szCs w:val="21"/>
                <w:highlight w:val="none"/>
              </w:rPr>
            </w:pPr>
          </w:p>
        </w:tc>
      </w:tr>
      <w:tr w14:paraId="740962A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1268" w:type="dxa"/>
            <w:vAlign w:val="center"/>
          </w:tcPr>
          <w:p w14:paraId="65C1F1CC">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1.1</w:t>
            </w:r>
          </w:p>
        </w:tc>
        <w:tc>
          <w:tcPr>
            <w:tcW w:w="2767" w:type="dxa"/>
            <w:vAlign w:val="center"/>
          </w:tcPr>
          <w:p w14:paraId="005EE07D">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投标厂家技术完整性要求</w:t>
            </w:r>
          </w:p>
        </w:tc>
        <w:tc>
          <w:tcPr>
            <w:tcW w:w="5537" w:type="dxa"/>
            <w:vAlign w:val="center"/>
          </w:tcPr>
          <w:p w14:paraId="3AA7FB37">
            <w:pPr>
              <w:snapToGrid w:val="0"/>
              <w:spacing w:line="440" w:lineRule="exact"/>
              <w:jc w:val="left"/>
              <w:rPr>
                <w:rFonts w:ascii="宋体" w:hAnsi="宋体" w:cs="宋体"/>
                <w:color w:val="auto"/>
                <w:szCs w:val="21"/>
                <w:highlight w:val="none"/>
              </w:rPr>
            </w:pPr>
            <w:r>
              <w:rPr>
                <w:rFonts w:hint="eastAsia" w:ascii="宋体" w:hAnsi="宋体" w:cs="宋体"/>
                <w:color w:val="auto"/>
                <w:szCs w:val="21"/>
                <w:highlight w:val="none"/>
              </w:rPr>
              <w:t>各投标机型的生产厂家需具备所有核心部件的自主研发和生产能力，主磁体、梯度线圈、谱仪作为核心部件，必须为原厂生产；与磁共振整机为同一品牌，不得采用第三方产品替代。</w:t>
            </w:r>
          </w:p>
        </w:tc>
      </w:tr>
      <w:tr w14:paraId="227FA72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1268" w:type="dxa"/>
            <w:vAlign w:val="center"/>
          </w:tcPr>
          <w:p w14:paraId="5FF7569A">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1.2</w:t>
            </w:r>
          </w:p>
        </w:tc>
        <w:tc>
          <w:tcPr>
            <w:tcW w:w="2767" w:type="dxa"/>
            <w:vAlign w:val="center"/>
          </w:tcPr>
          <w:p w14:paraId="0A25FA87">
            <w:pPr>
              <w:rPr>
                <w:color w:val="auto"/>
                <w:highlight w:val="none"/>
              </w:rPr>
            </w:pPr>
            <w:r>
              <w:rPr>
                <w:rFonts w:hint="eastAsia"/>
                <w:color w:val="auto"/>
                <w:highlight w:val="none"/>
              </w:rPr>
              <w:t>投标机型技术要求</w:t>
            </w:r>
          </w:p>
        </w:tc>
        <w:tc>
          <w:tcPr>
            <w:tcW w:w="5537" w:type="dxa"/>
          </w:tcPr>
          <w:p w14:paraId="19AA4024">
            <w:pPr>
              <w:rPr>
                <w:color w:val="auto"/>
                <w:highlight w:val="none"/>
              </w:rPr>
            </w:pPr>
            <w:r>
              <w:rPr>
                <w:rFonts w:hint="eastAsia"/>
                <w:color w:val="auto"/>
                <w:highlight w:val="none"/>
              </w:rPr>
              <w:t>各厂家必须提供在国内首次注册时间（NMPA注册）为2016年1月1日以后的产品。</w:t>
            </w:r>
          </w:p>
        </w:tc>
      </w:tr>
      <w:tr w14:paraId="2E09317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5095D7EC">
            <w:pPr>
              <w:pStyle w:val="37"/>
              <w:numPr>
                <w:ilvl w:val="0"/>
                <w:numId w:val="4"/>
              </w:numPr>
              <w:snapToGrid w:val="0"/>
              <w:spacing w:line="440" w:lineRule="exact"/>
              <w:ind w:firstLineChars="0"/>
              <w:jc w:val="center"/>
              <w:rPr>
                <w:rFonts w:ascii="宋体" w:hAnsi="宋体" w:cs="宋体"/>
                <w:b/>
                <w:bCs/>
                <w:color w:val="auto"/>
                <w:szCs w:val="21"/>
                <w:highlight w:val="none"/>
              </w:rPr>
            </w:pPr>
          </w:p>
        </w:tc>
        <w:tc>
          <w:tcPr>
            <w:tcW w:w="2767" w:type="dxa"/>
            <w:vAlign w:val="center"/>
          </w:tcPr>
          <w:p w14:paraId="42B2B5F5">
            <w:pPr>
              <w:snapToGrid w:val="0"/>
              <w:spacing w:line="440" w:lineRule="exact"/>
              <w:rPr>
                <w:rFonts w:ascii="宋体" w:hAnsi="宋体" w:cs="宋体"/>
                <w:b/>
                <w:bCs/>
                <w:color w:val="auto"/>
                <w:szCs w:val="21"/>
                <w:highlight w:val="none"/>
              </w:rPr>
            </w:pPr>
            <w:r>
              <w:rPr>
                <w:rFonts w:hint="eastAsia" w:ascii="宋体" w:hAnsi="宋体" w:cs="宋体"/>
                <w:b/>
                <w:bCs/>
                <w:color w:val="auto"/>
                <w:szCs w:val="21"/>
                <w:highlight w:val="none"/>
              </w:rPr>
              <w:t>磁体系统</w:t>
            </w:r>
          </w:p>
        </w:tc>
        <w:tc>
          <w:tcPr>
            <w:tcW w:w="5537" w:type="dxa"/>
            <w:vAlign w:val="center"/>
          </w:tcPr>
          <w:p w14:paraId="6EF70E51">
            <w:pPr>
              <w:snapToGrid w:val="0"/>
              <w:spacing w:line="440" w:lineRule="exact"/>
              <w:rPr>
                <w:rFonts w:ascii="宋体" w:hAnsi="宋体" w:cs="宋体"/>
                <w:b/>
                <w:bCs/>
                <w:color w:val="auto"/>
                <w:szCs w:val="21"/>
                <w:highlight w:val="none"/>
              </w:rPr>
            </w:pPr>
          </w:p>
        </w:tc>
      </w:tr>
      <w:tr w14:paraId="456AB80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14087F04">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★2.1</w:t>
            </w:r>
          </w:p>
        </w:tc>
        <w:tc>
          <w:tcPr>
            <w:tcW w:w="2767" w:type="dxa"/>
            <w:vAlign w:val="center"/>
          </w:tcPr>
          <w:p w14:paraId="39C9C77A">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磁场强度</w:t>
            </w:r>
          </w:p>
        </w:tc>
        <w:tc>
          <w:tcPr>
            <w:tcW w:w="5537" w:type="dxa"/>
            <w:vAlign w:val="center"/>
          </w:tcPr>
          <w:p w14:paraId="43C6E221">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3.0T，提供技术白皮书证明</w:t>
            </w:r>
          </w:p>
        </w:tc>
      </w:tr>
      <w:tr w14:paraId="053B084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0E940BB1">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2.2</w:t>
            </w:r>
          </w:p>
        </w:tc>
        <w:tc>
          <w:tcPr>
            <w:tcW w:w="2767" w:type="dxa"/>
            <w:vAlign w:val="center"/>
          </w:tcPr>
          <w:p w14:paraId="05A60878">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发射频率</w:t>
            </w:r>
          </w:p>
        </w:tc>
        <w:tc>
          <w:tcPr>
            <w:tcW w:w="5537" w:type="dxa"/>
            <w:vAlign w:val="center"/>
          </w:tcPr>
          <w:p w14:paraId="0C6FEC9D">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≥127MHz</w:t>
            </w:r>
          </w:p>
        </w:tc>
      </w:tr>
      <w:tr w14:paraId="62345D1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6DF3AF79">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2.3</w:t>
            </w:r>
          </w:p>
        </w:tc>
        <w:tc>
          <w:tcPr>
            <w:tcW w:w="2767" w:type="dxa"/>
            <w:vAlign w:val="center"/>
          </w:tcPr>
          <w:p w14:paraId="5B1D22DE">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磁体类型</w:t>
            </w:r>
          </w:p>
        </w:tc>
        <w:tc>
          <w:tcPr>
            <w:tcW w:w="5537" w:type="dxa"/>
            <w:vAlign w:val="center"/>
          </w:tcPr>
          <w:p w14:paraId="4A6FD8AE">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超导磁体</w:t>
            </w:r>
          </w:p>
        </w:tc>
      </w:tr>
      <w:tr w14:paraId="0A66BEA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53A259E8">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2.4</w:t>
            </w:r>
          </w:p>
        </w:tc>
        <w:tc>
          <w:tcPr>
            <w:tcW w:w="2767" w:type="dxa"/>
            <w:vAlign w:val="center"/>
          </w:tcPr>
          <w:p w14:paraId="3E92B380">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抗电磁干扰</w:t>
            </w:r>
          </w:p>
        </w:tc>
        <w:tc>
          <w:tcPr>
            <w:tcW w:w="5537" w:type="dxa"/>
            <w:vAlign w:val="center"/>
          </w:tcPr>
          <w:p w14:paraId="2ABE0AFA">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715AA73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315EBB2C">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2.5</w:t>
            </w:r>
          </w:p>
        </w:tc>
        <w:tc>
          <w:tcPr>
            <w:tcW w:w="2767" w:type="dxa"/>
            <w:vAlign w:val="center"/>
          </w:tcPr>
          <w:p w14:paraId="41A68FC9">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磁体稳定性</w:t>
            </w:r>
          </w:p>
        </w:tc>
        <w:tc>
          <w:tcPr>
            <w:tcW w:w="5537" w:type="dxa"/>
            <w:vAlign w:val="center"/>
          </w:tcPr>
          <w:p w14:paraId="3FD46A31">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＜0.1 ppm /h</w:t>
            </w:r>
          </w:p>
        </w:tc>
      </w:tr>
      <w:tr w14:paraId="12E5BF5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7CCB4EA9">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2.6</w:t>
            </w:r>
          </w:p>
        </w:tc>
        <w:tc>
          <w:tcPr>
            <w:tcW w:w="2767" w:type="dxa"/>
            <w:vAlign w:val="center"/>
          </w:tcPr>
          <w:p w14:paraId="12D9189B">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磁场均匀度</w:t>
            </w:r>
          </w:p>
        </w:tc>
        <w:tc>
          <w:tcPr>
            <w:tcW w:w="5537" w:type="dxa"/>
            <w:vAlign w:val="center"/>
          </w:tcPr>
          <w:p w14:paraId="2035D3AC">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V－RMS测量法，典型值</w:t>
            </w:r>
          </w:p>
        </w:tc>
      </w:tr>
      <w:tr w14:paraId="429EA3E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04935AFE">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2.7</w:t>
            </w:r>
          </w:p>
        </w:tc>
        <w:tc>
          <w:tcPr>
            <w:tcW w:w="2767" w:type="dxa"/>
            <w:vAlign w:val="center"/>
          </w:tcPr>
          <w:p w14:paraId="4378F7E2">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10 cm DSV</w:t>
            </w:r>
          </w:p>
        </w:tc>
        <w:tc>
          <w:tcPr>
            <w:tcW w:w="5537" w:type="dxa"/>
            <w:vAlign w:val="center"/>
          </w:tcPr>
          <w:p w14:paraId="653F5840">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 xml:space="preserve">≤ 0.002 ppm </w:t>
            </w:r>
          </w:p>
        </w:tc>
      </w:tr>
      <w:tr w14:paraId="171467E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3F5096B7">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2.7.1</w:t>
            </w:r>
          </w:p>
        </w:tc>
        <w:tc>
          <w:tcPr>
            <w:tcW w:w="2767" w:type="dxa"/>
            <w:vAlign w:val="center"/>
          </w:tcPr>
          <w:p w14:paraId="68DB5C6D">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20 cm DSV</w:t>
            </w:r>
          </w:p>
        </w:tc>
        <w:tc>
          <w:tcPr>
            <w:tcW w:w="5537" w:type="dxa"/>
            <w:vAlign w:val="center"/>
          </w:tcPr>
          <w:p w14:paraId="508AC8E5">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 xml:space="preserve">≤ 0.02 ppm </w:t>
            </w:r>
          </w:p>
        </w:tc>
      </w:tr>
      <w:tr w14:paraId="09D356D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716C1AC2">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2.7.2</w:t>
            </w:r>
          </w:p>
        </w:tc>
        <w:tc>
          <w:tcPr>
            <w:tcW w:w="2767" w:type="dxa"/>
            <w:vAlign w:val="center"/>
          </w:tcPr>
          <w:p w14:paraId="3D823838">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30 cm DSV</w:t>
            </w:r>
          </w:p>
        </w:tc>
        <w:tc>
          <w:tcPr>
            <w:tcW w:w="5537" w:type="dxa"/>
            <w:vAlign w:val="center"/>
          </w:tcPr>
          <w:p w14:paraId="1827BE1C">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 xml:space="preserve">≤ 0.08ppm </w:t>
            </w:r>
          </w:p>
        </w:tc>
      </w:tr>
      <w:tr w14:paraId="1B75363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2303D551">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2.7.3</w:t>
            </w:r>
          </w:p>
        </w:tc>
        <w:tc>
          <w:tcPr>
            <w:tcW w:w="2767" w:type="dxa"/>
            <w:vAlign w:val="center"/>
          </w:tcPr>
          <w:p w14:paraId="0B9BE132">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40 cm DSV</w:t>
            </w:r>
          </w:p>
        </w:tc>
        <w:tc>
          <w:tcPr>
            <w:tcW w:w="5537" w:type="dxa"/>
            <w:vAlign w:val="center"/>
          </w:tcPr>
          <w:p w14:paraId="44439D51">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 xml:space="preserve">≤ 0.33 ppm </w:t>
            </w:r>
          </w:p>
        </w:tc>
      </w:tr>
      <w:tr w14:paraId="1448551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2872477F">
            <w:pPr>
              <w:snapToGrid w:val="0"/>
              <w:spacing w:line="440" w:lineRule="exact"/>
              <w:jc w:val="center"/>
              <w:rPr>
                <w:rFonts w:ascii="宋体" w:hAnsi="宋体" w:cs="宋体"/>
                <w:color w:val="auto"/>
                <w:szCs w:val="21"/>
                <w:highlight w:val="none"/>
              </w:rPr>
            </w:pPr>
            <w:r>
              <w:rPr>
                <w:rFonts w:hint="eastAsia" w:ascii="宋体" w:hAnsi="宋体" w:cs="宋体"/>
                <w:bCs/>
                <w:color w:val="auto"/>
                <w:szCs w:val="21"/>
                <w:highlight w:val="none"/>
              </w:rPr>
              <w:t>2.7.4</w:t>
            </w:r>
          </w:p>
        </w:tc>
        <w:tc>
          <w:tcPr>
            <w:tcW w:w="2767" w:type="dxa"/>
            <w:vAlign w:val="center"/>
          </w:tcPr>
          <w:p w14:paraId="4A5C1602">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50 cm DSV</w:t>
            </w:r>
          </w:p>
        </w:tc>
        <w:tc>
          <w:tcPr>
            <w:tcW w:w="5537" w:type="dxa"/>
            <w:vAlign w:val="center"/>
          </w:tcPr>
          <w:p w14:paraId="4EA71421">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 xml:space="preserve">≤ 2.3ppm </w:t>
            </w:r>
          </w:p>
        </w:tc>
      </w:tr>
      <w:tr w14:paraId="11D9D0C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2F505E9B">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2.8</w:t>
            </w:r>
          </w:p>
        </w:tc>
        <w:tc>
          <w:tcPr>
            <w:tcW w:w="2767" w:type="dxa"/>
            <w:vAlign w:val="center"/>
          </w:tcPr>
          <w:p w14:paraId="71DC7BB0">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主磁场均匀度补偿技术</w:t>
            </w:r>
          </w:p>
        </w:tc>
        <w:tc>
          <w:tcPr>
            <w:tcW w:w="5537" w:type="dxa"/>
            <w:vAlign w:val="center"/>
          </w:tcPr>
          <w:p w14:paraId="7C45938F">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2C63686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6812E448">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2.8.1</w:t>
            </w:r>
          </w:p>
        </w:tc>
        <w:tc>
          <w:tcPr>
            <w:tcW w:w="2767" w:type="dxa"/>
            <w:vAlign w:val="center"/>
          </w:tcPr>
          <w:p w14:paraId="097B335B">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匀场方式</w:t>
            </w:r>
          </w:p>
        </w:tc>
        <w:tc>
          <w:tcPr>
            <w:tcW w:w="5537" w:type="dxa"/>
            <w:vAlign w:val="center"/>
          </w:tcPr>
          <w:p w14:paraId="545B50E6">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主动匀场 + 被动匀场</w:t>
            </w:r>
          </w:p>
        </w:tc>
      </w:tr>
      <w:tr w14:paraId="1885B24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57CB48DA">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2.8.2</w:t>
            </w:r>
          </w:p>
        </w:tc>
        <w:tc>
          <w:tcPr>
            <w:tcW w:w="2767" w:type="dxa"/>
            <w:vAlign w:val="center"/>
          </w:tcPr>
          <w:p w14:paraId="77C54E3D">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高阶匀场</w:t>
            </w:r>
          </w:p>
        </w:tc>
        <w:tc>
          <w:tcPr>
            <w:tcW w:w="5537" w:type="dxa"/>
            <w:vAlign w:val="center"/>
          </w:tcPr>
          <w:p w14:paraId="6A30931F">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具备，五通道高阶匀场</w:t>
            </w:r>
          </w:p>
        </w:tc>
      </w:tr>
      <w:tr w14:paraId="46C3C30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1B7D6C5A">
            <w:pPr>
              <w:snapToGrid w:val="0"/>
              <w:spacing w:line="440" w:lineRule="exact"/>
              <w:jc w:val="center"/>
              <w:rPr>
                <w:rFonts w:ascii="宋体" w:hAnsi="宋体" w:cs="宋体"/>
                <w:color w:val="auto"/>
                <w:szCs w:val="21"/>
                <w:highlight w:val="none"/>
              </w:rPr>
            </w:pPr>
            <w:r>
              <w:rPr>
                <w:rFonts w:hint="eastAsia" w:ascii="宋体" w:hAnsi="宋体" w:cs="宋体"/>
                <w:b/>
                <w:bCs/>
                <w:color w:val="auto"/>
                <w:szCs w:val="21"/>
                <w:highlight w:val="none"/>
              </w:rPr>
              <w:t>▲</w:t>
            </w:r>
            <w:r>
              <w:rPr>
                <w:rFonts w:hint="eastAsia" w:ascii="宋体" w:hAnsi="宋体" w:cs="宋体"/>
                <w:color w:val="auto"/>
                <w:szCs w:val="21"/>
                <w:highlight w:val="none"/>
              </w:rPr>
              <w:t>2.9</w:t>
            </w:r>
          </w:p>
        </w:tc>
        <w:tc>
          <w:tcPr>
            <w:tcW w:w="2767" w:type="dxa"/>
            <w:vAlign w:val="center"/>
          </w:tcPr>
          <w:p w14:paraId="3ABAD688">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磁体重量（含液氦）</w:t>
            </w:r>
          </w:p>
        </w:tc>
        <w:tc>
          <w:tcPr>
            <w:tcW w:w="5537" w:type="dxa"/>
            <w:vAlign w:val="center"/>
          </w:tcPr>
          <w:p w14:paraId="538B4506">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≤6650kg</w:t>
            </w:r>
          </w:p>
        </w:tc>
      </w:tr>
      <w:tr w14:paraId="0C4DB48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645145EC">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2.10</w:t>
            </w:r>
          </w:p>
        </w:tc>
        <w:tc>
          <w:tcPr>
            <w:tcW w:w="2767" w:type="dxa"/>
            <w:vAlign w:val="center"/>
          </w:tcPr>
          <w:p w14:paraId="6FE3531F">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磁体长度</w:t>
            </w:r>
          </w:p>
        </w:tc>
        <w:tc>
          <w:tcPr>
            <w:tcW w:w="5537" w:type="dxa"/>
            <w:vAlign w:val="center"/>
          </w:tcPr>
          <w:p w14:paraId="7FB6CAF2">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≥170cm</w:t>
            </w:r>
          </w:p>
        </w:tc>
      </w:tr>
      <w:tr w14:paraId="30D3EFC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0F14BFE8">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★2.11</w:t>
            </w:r>
          </w:p>
        </w:tc>
        <w:tc>
          <w:tcPr>
            <w:tcW w:w="2767" w:type="dxa"/>
            <w:vAlign w:val="center"/>
          </w:tcPr>
          <w:p w14:paraId="32D379BF">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病人检查孔径</w:t>
            </w:r>
          </w:p>
        </w:tc>
        <w:tc>
          <w:tcPr>
            <w:tcW w:w="5537" w:type="dxa"/>
            <w:vAlign w:val="center"/>
          </w:tcPr>
          <w:p w14:paraId="192E340C">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≥65cm ，提供技术白皮书证明</w:t>
            </w:r>
          </w:p>
        </w:tc>
      </w:tr>
      <w:tr w14:paraId="06D0685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48DFD6C6">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2.12</w:t>
            </w:r>
          </w:p>
        </w:tc>
        <w:tc>
          <w:tcPr>
            <w:tcW w:w="2767" w:type="dxa"/>
            <w:vAlign w:val="center"/>
          </w:tcPr>
          <w:p w14:paraId="5A1E94E4">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冷却方式</w:t>
            </w:r>
          </w:p>
        </w:tc>
        <w:tc>
          <w:tcPr>
            <w:tcW w:w="5537" w:type="dxa"/>
            <w:vAlign w:val="center"/>
          </w:tcPr>
          <w:p w14:paraId="45B631AD">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液氦制冷</w:t>
            </w:r>
          </w:p>
        </w:tc>
      </w:tr>
      <w:tr w14:paraId="1E9055A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08D7C96E">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2.13</w:t>
            </w:r>
          </w:p>
        </w:tc>
        <w:tc>
          <w:tcPr>
            <w:tcW w:w="2767" w:type="dxa"/>
            <w:vAlign w:val="center"/>
          </w:tcPr>
          <w:p w14:paraId="189148A7">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液氦消耗率</w:t>
            </w:r>
          </w:p>
        </w:tc>
        <w:tc>
          <w:tcPr>
            <w:tcW w:w="5537" w:type="dxa"/>
            <w:vAlign w:val="center"/>
          </w:tcPr>
          <w:p w14:paraId="1E5517F9">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0.0升/年</w:t>
            </w:r>
          </w:p>
        </w:tc>
      </w:tr>
      <w:tr w14:paraId="2F9DEDD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3B952F69">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2.14</w:t>
            </w:r>
          </w:p>
        </w:tc>
        <w:tc>
          <w:tcPr>
            <w:tcW w:w="2767" w:type="dxa"/>
            <w:vAlign w:val="center"/>
          </w:tcPr>
          <w:p w14:paraId="4F4842C3">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液氦容积</w:t>
            </w:r>
          </w:p>
        </w:tc>
        <w:tc>
          <w:tcPr>
            <w:tcW w:w="5537" w:type="dxa"/>
            <w:vAlign w:val="center"/>
          </w:tcPr>
          <w:p w14:paraId="445E22A0">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≥1400L</w:t>
            </w:r>
          </w:p>
        </w:tc>
      </w:tr>
      <w:tr w14:paraId="16F6C35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6F679F6D">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2.15</w:t>
            </w:r>
          </w:p>
        </w:tc>
        <w:tc>
          <w:tcPr>
            <w:tcW w:w="2767" w:type="dxa"/>
            <w:vAlign w:val="center"/>
          </w:tcPr>
          <w:p w14:paraId="1ECE45CE">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5高斯线范围</w:t>
            </w:r>
          </w:p>
        </w:tc>
        <w:tc>
          <w:tcPr>
            <w:tcW w:w="5537" w:type="dxa"/>
            <w:vAlign w:val="center"/>
          </w:tcPr>
          <w:p w14:paraId="7C16E197">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≤5m×3.1m</w:t>
            </w:r>
          </w:p>
        </w:tc>
      </w:tr>
      <w:tr w14:paraId="5306541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4C0454EE">
            <w:pPr>
              <w:pStyle w:val="37"/>
              <w:numPr>
                <w:ilvl w:val="0"/>
                <w:numId w:val="4"/>
              </w:numPr>
              <w:snapToGrid w:val="0"/>
              <w:spacing w:line="440" w:lineRule="exact"/>
              <w:ind w:firstLineChars="0"/>
              <w:jc w:val="center"/>
              <w:rPr>
                <w:rFonts w:ascii="宋体" w:hAnsi="宋体" w:cs="宋体"/>
                <w:b/>
                <w:bCs/>
                <w:color w:val="auto"/>
                <w:szCs w:val="21"/>
                <w:highlight w:val="none"/>
              </w:rPr>
            </w:pPr>
          </w:p>
        </w:tc>
        <w:tc>
          <w:tcPr>
            <w:tcW w:w="2767" w:type="dxa"/>
            <w:vAlign w:val="center"/>
          </w:tcPr>
          <w:p w14:paraId="28305F34">
            <w:pPr>
              <w:snapToGrid w:val="0"/>
              <w:spacing w:line="440" w:lineRule="exact"/>
              <w:rPr>
                <w:rFonts w:ascii="宋体" w:hAnsi="宋体" w:cs="宋体"/>
                <w:b/>
                <w:bCs/>
                <w:color w:val="auto"/>
                <w:szCs w:val="21"/>
                <w:highlight w:val="none"/>
              </w:rPr>
            </w:pPr>
            <w:r>
              <w:rPr>
                <w:rFonts w:hint="eastAsia" w:ascii="宋体" w:hAnsi="宋体" w:cs="宋体"/>
                <w:b/>
                <w:bCs/>
                <w:color w:val="auto"/>
                <w:szCs w:val="21"/>
                <w:highlight w:val="none"/>
              </w:rPr>
              <w:t>梯度系统 </w:t>
            </w:r>
          </w:p>
        </w:tc>
        <w:tc>
          <w:tcPr>
            <w:tcW w:w="5537" w:type="dxa"/>
            <w:vAlign w:val="center"/>
          </w:tcPr>
          <w:p w14:paraId="6D27104B">
            <w:pPr>
              <w:snapToGrid w:val="0"/>
              <w:spacing w:line="440" w:lineRule="exact"/>
              <w:rPr>
                <w:rFonts w:ascii="宋体" w:hAnsi="宋体" w:cs="宋体"/>
                <w:b/>
                <w:bCs/>
                <w:color w:val="auto"/>
                <w:szCs w:val="21"/>
                <w:highlight w:val="none"/>
              </w:rPr>
            </w:pPr>
          </w:p>
        </w:tc>
      </w:tr>
      <w:tr w14:paraId="1A25EEE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0DCF3267">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3.1</w:t>
            </w:r>
          </w:p>
        </w:tc>
        <w:tc>
          <w:tcPr>
            <w:tcW w:w="2767" w:type="dxa"/>
            <w:vAlign w:val="center"/>
          </w:tcPr>
          <w:p w14:paraId="7D83224C">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梯度控制技术</w:t>
            </w:r>
          </w:p>
        </w:tc>
        <w:tc>
          <w:tcPr>
            <w:tcW w:w="5537" w:type="dxa"/>
            <w:vAlign w:val="center"/>
          </w:tcPr>
          <w:p w14:paraId="0CC5AA3A">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全数字实时 </w:t>
            </w:r>
          </w:p>
        </w:tc>
      </w:tr>
      <w:tr w14:paraId="778AAC7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577FD4F4">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3.2</w:t>
            </w:r>
          </w:p>
        </w:tc>
        <w:tc>
          <w:tcPr>
            <w:tcW w:w="2767" w:type="dxa"/>
            <w:vAlign w:val="center"/>
          </w:tcPr>
          <w:p w14:paraId="0A2735A8">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梯度冷却方式</w:t>
            </w:r>
          </w:p>
        </w:tc>
        <w:tc>
          <w:tcPr>
            <w:tcW w:w="5537" w:type="dxa"/>
            <w:vAlign w:val="center"/>
          </w:tcPr>
          <w:p w14:paraId="576251B5">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水冷</w:t>
            </w:r>
          </w:p>
        </w:tc>
      </w:tr>
      <w:tr w14:paraId="0A53476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7CD8EBD4">
            <w:pPr>
              <w:snapToGrid w:val="0"/>
              <w:spacing w:line="440" w:lineRule="exact"/>
              <w:ind w:firstLine="210" w:firstLineChars="100"/>
              <w:rPr>
                <w:rFonts w:ascii="宋体" w:hAnsi="宋体" w:cs="宋体"/>
                <w:color w:val="auto"/>
                <w:szCs w:val="21"/>
                <w:highlight w:val="none"/>
              </w:rPr>
            </w:pPr>
            <w:r>
              <w:rPr>
                <w:rFonts w:hint="eastAsia" w:ascii="宋体" w:hAnsi="宋体" w:cs="宋体"/>
                <w:color w:val="auto"/>
                <w:szCs w:val="21"/>
                <w:highlight w:val="none"/>
              </w:rPr>
              <w:t>★3.3</w:t>
            </w:r>
          </w:p>
        </w:tc>
        <w:tc>
          <w:tcPr>
            <w:tcW w:w="2767" w:type="dxa"/>
            <w:vAlign w:val="center"/>
          </w:tcPr>
          <w:p w14:paraId="1CC41E7D">
            <w:pPr>
              <w:autoSpaceDN w:val="0"/>
              <w:snapToGrid w:val="0"/>
              <w:spacing w:line="440" w:lineRule="exact"/>
              <w:textAlignment w:val="center"/>
              <w:rPr>
                <w:rFonts w:ascii="宋体" w:hAnsi="宋体" w:cs="宋体"/>
                <w:color w:val="auto"/>
                <w:szCs w:val="21"/>
                <w:highlight w:val="none"/>
              </w:rPr>
            </w:pPr>
            <w:r>
              <w:rPr>
                <w:rFonts w:hint="eastAsia" w:ascii="宋体" w:hAnsi="宋体" w:cs="宋体"/>
                <w:color w:val="auto"/>
                <w:szCs w:val="21"/>
                <w:highlight w:val="none"/>
              </w:rPr>
              <w:t>最大单轴梯度场强度</w:t>
            </w:r>
          </w:p>
        </w:tc>
        <w:tc>
          <w:tcPr>
            <w:tcW w:w="5537" w:type="dxa"/>
            <w:vAlign w:val="center"/>
          </w:tcPr>
          <w:p w14:paraId="45E3C4A3">
            <w:pPr>
              <w:autoSpaceDN w:val="0"/>
              <w:snapToGrid w:val="0"/>
              <w:spacing w:line="440" w:lineRule="exact"/>
              <w:textAlignment w:val="center"/>
              <w:rPr>
                <w:rFonts w:ascii="宋体" w:hAnsi="宋体" w:cs="宋体"/>
                <w:color w:val="auto"/>
                <w:szCs w:val="21"/>
                <w:highlight w:val="none"/>
              </w:rPr>
            </w:pPr>
            <w:r>
              <w:rPr>
                <w:rFonts w:hint="eastAsia" w:ascii="宋体" w:hAnsi="宋体" w:cs="宋体"/>
                <w:color w:val="auto"/>
                <w:szCs w:val="21"/>
                <w:highlight w:val="none"/>
              </w:rPr>
              <w:t>≥45 mT/m，提供技术白皮书证明</w:t>
            </w:r>
          </w:p>
        </w:tc>
      </w:tr>
      <w:tr w14:paraId="2E45821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1903838B">
            <w:pPr>
              <w:snapToGrid w:val="0"/>
              <w:spacing w:line="440" w:lineRule="exact"/>
              <w:jc w:val="center"/>
              <w:rPr>
                <w:rFonts w:ascii="宋体" w:hAnsi="宋体" w:cs="宋体"/>
                <w:color w:val="auto"/>
                <w:szCs w:val="21"/>
                <w:highlight w:val="none"/>
              </w:rPr>
            </w:pPr>
            <w:r>
              <w:rPr>
                <w:rFonts w:hint="eastAsia" w:ascii="宋体" w:hAnsi="宋体" w:cs="宋体"/>
                <w:bCs/>
                <w:color w:val="auto"/>
                <w:szCs w:val="21"/>
                <w:highlight w:val="none"/>
              </w:rPr>
              <w:t>3.4</w:t>
            </w:r>
          </w:p>
        </w:tc>
        <w:tc>
          <w:tcPr>
            <w:tcW w:w="2767" w:type="dxa"/>
            <w:vAlign w:val="center"/>
          </w:tcPr>
          <w:p w14:paraId="41AAB43A">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最大单轴梯度切换率</w:t>
            </w:r>
          </w:p>
        </w:tc>
        <w:tc>
          <w:tcPr>
            <w:tcW w:w="5537" w:type="dxa"/>
            <w:vAlign w:val="center"/>
          </w:tcPr>
          <w:p w14:paraId="17F7FEA8">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≥200 T/m/s，提供技术白皮书证明</w:t>
            </w:r>
          </w:p>
        </w:tc>
      </w:tr>
      <w:tr w14:paraId="3F14823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6F5AD402">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▲3.5</w:t>
            </w:r>
          </w:p>
        </w:tc>
        <w:tc>
          <w:tcPr>
            <w:tcW w:w="2767" w:type="dxa"/>
            <w:vAlign w:val="center"/>
          </w:tcPr>
          <w:p w14:paraId="08698F54">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最短梯度爬升时间</w:t>
            </w:r>
          </w:p>
        </w:tc>
        <w:tc>
          <w:tcPr>
            <w:tcW w:w="5537" w:type="dxa"/>
            <w:vAlign w:val="center"/>
          </w:tcPr>
          <w:p w14:paraId="498CC663">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≤0.24 ms</w:t>
            </w:r>
          </w:p>
        </w:tc>
      </w:tr>
      <w:tr w14:paraId="6E7D7F6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2DECE419">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3.6</w:t>
            </w:r>
          </w:p>
        </w:tc>
        <w:tc>
          <w:tcPr>
            <w:tcW w:w="2767" w:type="dxa"/>
            <w:vAlign w:val="center"/>
          </w:tcPr>
          <w:p w14:paraId="35CA73D2">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最大占空比</w:t>
            </w:r>
          </w:p>
        </w:tc>
        <w:tc>
          <w:tcPr>
            <w:tcW w:w="5537" w:type="dxa"/>
            <w:vAlign w:val="center"/>
          </w:tcPr>
          <w:p w14:paraId="4E959210">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100% </w:t>
            </w:r>
          </w:p>
        </w:tc>
      </w:tr>
      <w:tr w14:paraId="3240E8B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647BB082">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3.7</w:t>
            </w:r>
          </w:p>
        </w:tc>
        <w:tc>
          <w:tcPr>
            <w:tcW w:w="2767" w:type="dxa"/>
            <w:vAlign w:val="center"/>
          </w:tcPr>
          <w:p w14:paraId="6909823E">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屏蔽方式</w:t>
            </w:r>
          </w:p>
        </w:tc>
        <w:tc>
          <w:tcPr>
            <w:tcW w:w="5537" w:type="dxa"/>
            <w:vAlign w:val="center"/>
          </w:tcPr>
          <w:p w14:paraId="7B9D72FF">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主动屏蔽</w:t>
            </w:r>
          </w:p>
        </w:tc>
      </w:tr>
      <w:tr w14:paraId="6CA6509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4611DEC0">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3.8</w:t>
            </w:r>
          </w:p>
        </w:tc>
        <w:tc>
          <w:tcPr>
            <w:tcW w:w="2767" w:type="dxa"/>
            <w:vAlign w:val="center"/>
          </w:tcPr>
          <w:p w14:paraId="15C6F517">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梯度降噪技术</w:t>
            </w:r>
          </w:p>
        </w:tc>
        <w:tc>
          <w:tcPr>
            <w:tcW w:w="5537" w:type="dxa"/>
            <w:vAlign w:val="center"/>
          </w:tcPr>
          <w:p w14:paraId="617C5987">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0BAB550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0E8B5A50">
            <w:pPr>
              <w:pStyle w:val="37"/>
              <w:numPr>
                <w:ilvl w:val="0"/>
                <w:numId w:val="4"/>
              </w:numPr>
              <w:snapToGrid w:val="0"/>
              <w:spacing w:line="440" w:lineRule="exact"/>
              <w:ind w:firstLineChars="0"/>
              <w:jc w:val="center"/>
              <w:rPr>
                <w:rFonts w:ascii="宋体" w:hAnsi="宋体" w:cs="宋体"/>
                <w:b/>
                <w:bCs/>
                <w:color w:val="auto"/>
                <w:szCs w:val="21"/>
                <w:highlight w:val="none"/>
              </w:rPr>
            </w:pPr>
          </w:p>
        </w:tc>
        <w:tc>
          <w:tcPr>
            <w:tcW w:w="2767" w:type="dxa"/>
            <w:vAlign w:val="center"/>
          </w:tcPr>
          <w:p w14:paraId="42CE2FFA">
            <w:pPr>
              <w:snapToGrid w:val="0"/>
              <w:spacing w:line="440" w:lineRule="exact"/>
              <w:rPr>
                <w:rFonts w:ascii="宋体" w:hAnsi="宋体" w:cs="宋体"/>
                <w:b/>
                <w:bCs/>
                <w:color w:val="auto"/>
                <w:szCs w:val="21"/>
                <w:highlight w:val="none"/>
              </w:rPr>
            </w:pPr>
            <w:r>
              <w:rPr>
                <w:rFonts w:hint="eastAsia" w:ascii="宋体" w:hAnsi="宋体" w:cs="宋体"/>
                <w:b/>
                <w:bCs/>
                <w:color w:val="auto"/>
                <w:szCs w:val="21"/>
                <w:highlight w:val="none"/>
              </w:rPr>
              <w:t>射频系统 </w:t>
            </w:r>
          </w:p>
        </w:tc>
        <w:tc>
          <w:tcPr>
            <w:tcW w:w="5537" w:type="dxa"/>
            <w:vAlign w:val="center"/>
          </w:tcPr>
          <w:p w14:paraId="080EAB7D">
            <w:pPr>
              <w:snapToGrid w:val="0"/>
              <w:spacing w:line="440" w:lineRule="exact"/>
              <w:rPr>
                <w:rFonts w:ascii="宋体" w:hAnsi="宋体" w:cs="宋体"/>
                <w:b/>
                <w:bCs/>
                <w:color w:val="auto"/>
                <w:szCs w:val="21"/>
                <w:highlight w:val="none"/>
              </w:rPr>
            </w:pPr>
          </w:p>
        </w:tc>
      </w:tr>
      <w:tr w14:paraId="6F1BC90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078BF359">
            <w:pPr>
              <w:snapToGrid w:val="0"/>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▲4.1</w:t>
            </w:r>
          </w:p>
        </w:tc>
        <w:tc>
          <w:tcPr>
            <w:tcW w:w="2767" w:type="dxa"/>
            <w:vAlign w:val="center"/>
          </w:tcPr>
          <w:p w14:paraId="276959B0">
            <w:pPr>
              <w:snapToGrid w:val="0"/>
              <w:spacing w:line="440" w:lineRule="exact"/>
              <w:rPr>
                <w:rFonts w:ascii="宋体" w:hAnsi="宋体" w:cs="宋体"/>
                <w:bCs/>
                <w:color w:val="auto"/>
                <w:szCs w:val="21"/>
                <w:highlight w:val="none"/>
              </w:rPr>
            </w:pPr>
            <w:r>
              <w:rPr>
                <w:rFonts w:hint="eastAsia" w:ascii="宋体" w:hAnsi="宋体" w:cs="宋体"/>
                <w:bCs/>
                <w:color w:val="auto"/>
                <w:szCs w:val="21"/>
                <w:highlight w:val="none"/>
              </w:rPr>
              <w:t>独立射频源个数</w:t>
            </w:r>
          </w:p>
        </w:tc>
        <w:tc>
          <w:tcPr>
            <w:tcW w:w="5537" w:type="dxa"/>
            <w:vAlign w:val="center"/>
          </w:tcPr>
          <w:p w14:paraId="00C04BE0">
            <w:pPr>
              <w:snapToGrid w:val="0"/>
              <w:spacing w:line="440" w:lineRule="exact"/>
              <w:rPr>
                <w:rFonts w:ascii="宋体" w:hAnsi="宋体" w:cs="宋体"/>
                <w:bCs/>
                <w:color w:val="auto"/>
                <w:szCs w:val="21"/>
                <w:highlight w:val="none"/>
              </w:rPr>
            </w:pPr>
            <w:r>
              <w:rPr>
                <w:rFonts w:hint="eastAsia" w:ascii="宋体" w:hAnsi="宋体" w:cs="宋体"/>
                <w:bCs/>
                <w:color w:val="auto"/>
                <w:szCs w:val="21"/>
                <w:highlight w:val="none"/>
              </w:rPr>
              <w:t>≥2或双通道激发技术</w:t>
            </w:r>
          </w:p>
        </w:tc>
      </w:tr>
      <w:tr w14:paraId="32B3135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5E12A48E">
            <w:pPr>
              <w:snapToGrid w:val="0"/>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4.2</w:t>
            </w:r>
          </w:p>
        </w:tc>
        <w:tc>
          <w:tcPr>
            <w:tcW w:w="2767" w:type="dxa"/>
            <w:vAlign w:val="center"/>
          </w:tcPr>
          <w:p w14:paraId="20667537">
            <w:pPr>
              <w:snapToGrid w:val="0"/>
              <w:spacing w:line="440" w:lineRule="exact"/>
              <w:jc w:val="left"/>
              <w:rPr>
                <w:rFonts w:ascii="宋体" w:hAnsi="宋体" w:cs="宋体"/>
                <w:bCs/>
                <w:color w:val="auto"/>
                <w:szCs w:val="21"/>
                <w:highlight w:val="none"/>
              </w:rPr>
            </w:pPr>
            <w:r>
              <w:rPr>
                <w:rFonts w:hint="eastAsia" w:ascii="宋体" w:hAnsi="宋体" w:cs="宋体"/>
                <w:bCs/>
                <w:color w:val="auto"/>
                <w:szCs w:val="21"/>
                <w:highlight w:val="none"/>
              </w:rPr>
              <w:t>每个射频源可独立调节射频脉冲的相位、波形、幅度</w:t>
            </w:r>
          </w:p>
        </w:tc>
        <w:tc>
          <w:tcPr>
            <w:tcW w:w="5537" w:type="dxa"/>
            <w:vAlign w:val="center"/>
          </w:tcPr>
          <w:p w14:paraId="2973CAE9">
            <w:pPr>
              <w:snapToGrid w:val="0"/>
              <w:spacing w:line="440" w:lineRule="exact"/>
              <w:rPr>
                <w:rFonts w:ascii="宋体" w:hAnsi="宋体" w:cs="宋体"/>
                <w:bCs/>
                <w:color w:val="auto"/>
                <w:szCs w:val="21"/>
                <w:highlight w:val="none"/>
              </w:rPr>
            </w:pPr>
            <w:r>
              <w:rPr>
                <w:rFonts w:hint="eastAsia" w:ascii="宋体" w:hAnsi="宋体" w:cs="宋体"/>
                <w:bCs/>
                <w:color w:val="auto"/>
                <w:szCs w:val="21"/>
                <w:highlight w:val="none"/>
              </w:rPr>
              <w:t>具备</w:t>
            </w:r>
          </w:p>
        </w:tc>
      </w:tr>
      <w:tr w14:paraId="30FCB06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4182C8E3">
            <w:pPr>
              <w:snapToGrid w:val="0"/>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▲4.3</w:t>
            </w:r>
          </w:p>
        </w:tc>
        <w:tc>
          <w:tcPr>
            <w:tcW w:w="2767" w:type="dxa"/>
            <w:vAlign w:val="center"/>
          </w:tcPr>
          <w:p w14:paraId="119D844D">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射频发射功率</w:t>
            </w:r>
          </w:p>
        </w:tc>
        <w:tc>
          <w:tcPr>
            <w:tcW w:w="5537" w:type="dxa"/>
            <w:vAlign w:val="center"/>
          </w:tcPr>
          <w:p w14:paraId="765911C0">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≥2×18kW或≥36kW</w:t>
            </w:r>
          </w:p>
        </w:tc>
      </w:tr>
      <w:tr w14:paraId="1BA03BF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53A3A556">
            <w:pPr>
              <w:snapToGrid w:val="0"/>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4.4</w:t>
            </w:r>
          </w:p>
        </w:tc>
        <w:tc>
          <w:tcPr>
            <w:tcW w:w="2767" w:type="dxa"/>
            <w:vAlign w:val="center"/>
          </w:tcPr>
          <w:p w14:paraId="78AC267A">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射频功率放大器类型</w:t>
            </w:r>
          </w:p>
        </w:tc>
        <w:tc>
          <w:tcPr>
            <w:tcW w:w="5537" w:type="dxa"/>
            <w:vAlign w:val="center"/>
          </w:tcPr>
          <w:p w14:paraId="16D987C3">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水冷/数字接口</w:t>
            </w:r>
          </w:p>
        </w:tc>
      </w:tr>
      <w:tr w14:paraId="7385687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36998D79">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▲4.5</w:t>
            </w:r>
          </w:p>
        </w:tc>
        <w:tc>
          <w:tcPr>
            <w:tcW w:w="2767" w:type="dxa"/>
            <w:vAlign w:val="center"/>
          </w:tcPr>
          <w:p w14:paraId="23B5DD9E">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单FOV射频接收通道数（以技术白皮书为准）</w:t>
            </w:r>
          </w:p>
        </w:tc>
        <w:tc>
          <w:tcPr>
            <w:tcW w:w="5537" w:type="dxa"/>
            <w:vAlign w:val="center"/>
          </w:tcPr>
          <w:p w14:paraId="7862E03C">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≥48</w:t>
            </w:r>
          </w:p>
        </w:tc>
      </w:tr>
      <w:tr w14:paraId="53A03C3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72905B9F">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4.6</w:t>
            </w:r>
          </w:p>
        </w:tc>
        <w:tc>
          <w:tcPr>
            <w:tcW w:w="2767" w:type="dxa"/>
            <w:vAlign w:val="center"/>
          </w:tcPr>
          <w:p w14:paraId="6ABC2022">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射频接收采样率</w:t>
            </w:r>
          </w:p>
        </w:tc>
        <w:tc>
          <w:tcPr>
            <w:tcW w:w="5537" w:type="dxa"/>
            <w:vAlign w:val="center"/>
          </w:tcPr>
          <w:p w14:paraId="2E8B4ED2">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≥80MHz</w:t>
            </w:r>
          </w:p>
        </w:tc>
      </w:tr>
      <w:tr w14:paraId="1FA09DD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12707AE4">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4.7</w:t>
            </w:r>
          </w:p>
        </w:tc>
        <w:tc>
          <w:tcPr>
            <w:tcW w:w="2767" w:type="dxa"/>
            <w:vAlign w:val="center"/>
          </w:tcPr>
          <w:p w14:paraId="46B11B72">
            <w:pPr>
              <w:widowControl/>
              <w:snapToGrid w:val="0"/>
              <w:spacing w:line="440" w:lineRule="exact"/>
              <w:rPr>
                <w:rFonts w:ascii="宋体" w:hAnsi="宋体" w:cs="宋体"/>
                <w:color w:val="auto"/>
                <w:kern w:val="0"/>
                <w:szCs w:val="21"/>
                <w:highlight w:val="none"/>
              </w:rPr>
            </w:pPr>
            <w:r>
              <w:rPr>
                <w:rFonts w:hint="eastAsia" w:ascii="宋体" w:hAnsi="宋体" w:cs="宋体"/>
                <w:color w:val="auto"/>
                <w:kern w:val="0"/>
                <w:szCs w:val="21"/>
                <w:highlight w:val="none"/>
              </w:rPr>
              <w:t>接收动态范围（1Hz带宽）</w:t>
            </w:r>
          </w:p>
        </w:tc>
        <w:tc>
          <w:tcPr>
            <w:tcW w:w="5537" w:type="dxa"/>
            <w:vAlign w:val="center"/>
          </w:tcPr>
          <w:p w14:paraId="19759AC4">
            <w:pPr>
              <w:widowControl/>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kern w:val="0"/>
                <w:szCs w:val="21"/>
                <w:highlight w:val="none"/>
              </w:rPr>
              <w:t>160dB</w:t>
            </w:r>
          </w:p>
        </w:tc>
      </w:tr>
      <w:tr w14:paraId="43867ED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02102D60">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4.8</w:t>
            </w:r>
          </w:p>
        </w:tc>
        <w:tc>
          <w:tcPr>
            <w:tcW w:w="2767" w:type="dxa"/>
            <w:vAlign w:val="center"/>
          </w:tcPr>
          <w:p w14:paraId="00FB60AE">
            <w:pPr>
              <w:widowControl/>
              <w:snapToGrid w:val="0"/>
              <w:spacing w:line="440" w:lineRule="exact"/>
              <w:rPr>
                <w:rFonts w:ascii="宋体" w:hAnsi="宋体" w:cs="宋体"/>
                <w:color w:val="auto"/>
                <w:kern w:val="0"/>
                <w:szCs w:val="21"/>
                <w:highlight w:val="none"/>
              </w:rPr>
            </w:pPr>
            <w:r>
              <w:rPr>
                <w:rFonts w:hint="eastAsia" w:ascii="宋体" w:hAnsi="宋体" w:cs="宋体"/>
                <w:color w:val="auto"/>
                <w:kern w:val="0"/>
                <w:szCs w:val="21"/>
                <w:highlight w:val="none"/>
              </w:rPr>
              <w:t>噪声系数</w:t>
            </w:r>
          </w:p>
        </w:tc>
        <w:tc>
          <w:tcPr>
            <w:tcW w:w="5537" w:type="dxa"/>
            <w:vAlign w:val="center"/>
          </w:tcPr>
          <w:p w14:paraId="0D01ED68">
            <w:pPr>
              <w:widowControl/>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≤0.5dB</w:t>
            </w:r>
          </w:p>
        </w:tc>
      </w:tr>
      <w:tr w14:paraId="223B5BA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3879DC24">
            <w:pPr>
              <w:widowControl/>
              <w:snapToGrid w:val="0"/>
              <w:spacing w:line="4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4.9</w:t>
            </w:r>
          </w:p>
        </w:tc>
        <w:tc>
          <w:tcPr>
            <w:tcW w:w="2767" w:type="dxa"/>
            <w:vAlign w:val="center"/>
          </w:tcPr>
          <w:p w14:paraId="66D9AF4A">
            <w:pPr>
              <w:widowControl/>
              <w:snapToGrid w:val="0"/>
              <w:spacing w:line="440" w:lineRule="exact"/>
              <w:rPr>
                <w:rFonts w:ascii="宋体" w:hAnsi="宋体" w:cs="宋体"/>
                <w:color w:val="auto"/>
                <w:kern w:val="0"/>
                <w:szCs w:val="21"/>
                <w:highlight w:val="none"/>
              </w:rPr>
            </w:pPr>
            <w:r>
              <w:rPr>
                <w:rFonts w:hint="eastAsia" w:ascii="宋体" w:hAnsi="宋体" w:cs="宋体"/>
                <w:color w:val="auto"/>
                <w:kern w:val="0"/>
                <w:szCs w:val="21"/>
                <w:highlight w:val="none"/>
              </w:rPr>
              <w:t>射频接收线圈及相关技术</w:t>
            </w:r>
          </w:p>
        </w:tc>
        <w:tc>
          <w:tcPr>
            <w:tcW w:w="5537" w:type="dxa"/>
            <w:vAlign w:val="center"/>
          </w:tcPr>
          <w:p w14:paraId="3B9C8923">
            <w:pPr>
              <w:widowControl/>
              <w:snapToGrid w:val="0"/>
              <w:spacing w:line="440" w:lineRule="exact"/>
              <w:rPr>
                <w:rFonts w:ascii="宋体" w:hAnsi="宋体" w:cs="宋体"/>
                <w:color w:val="auto"/>
                <w:kern w:val="0"/>
                <w:szCs w:val="21"/>
                <w:highlight w:val="none"/>
              </w:rPr>
            </w:pPr>
            <w:r>
              <w:rPr>
                <w:rFonts w:hint="eastAsia" w:ascii="宋体" w:hAnsi="宋体" w:cs="宋体"/>
                <w:color w:val="auto"/>
                <w:kern w:val="0"/>
                <w:szCs w:val="21"/>
                <w:highlight w:val="none"/>
              </w:rPr>
              <w:t>要求线圈必须为原厂（与整机同品牌）专用线圈</w:t>
            </w:r>
          </w:p>
        </w:tc>
      </w:tr>
      <w:tr w14:paraId="3598048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787BB55C">
            <w:pPr>
              <w:snapToGrid w:val="0"/>
              <w:spacing w:line="440" w:lineRule="exact"/>
              <w:jc w:val="center"/>
              <w:rPr>
                <w:rFonts w:ascii="宋体" w:hAnsi="宋体" w:cs="宋体"/>
                <w:color w:val="auto"/>
                <w:szCs w:val="21"/>
                <w:highlight w:val="none"/>
              </w:rPr>
            </w:pPr>
            <w:r>
              <w:rPr>
                <w:rFonts w:hint="eastAsia" w:ascii="宋体" w:hAnsi="宋体" w:cs="宋体"/>
                <w:color w:val="auto"/>
                <w:kern w:val="0"/>
                <w:szCs w:val="21"/>
                <w:highlight w:val="none"/>
              </w:rPr>
              <w:t>4.9.1</w:t>
            </w:r>
          </w:p>
        </w:tc>
        <w:tc>
          <w:tcPr>
            <w:tcW w:w="2767" w:type="dxa"/>
            <w:vAlign w:val="center"/>
          </w:tcPr>
          <w:p w14:paraId="0017A095">
            <w:pPr>
              <w:tabs>
                <w:tab w:val="left" w:pos="714"/>
              </w:tabs>
              <w:snapToGrid w:val="0"/>
              <w:spacing w:line="440" w:lineRule="exact"/>
              <w:rPr>
                <w:rFonts w:ascii="宋体" w:hAnsi="宋体" w:cs="宋体"/>
                <w:color w:val="auto"/>
                <w:szCs w:val="21"/>
                <w:highlight w:val="none"/>
              </w:rPr>
            </w:pPr>
            <w:r>
              <w:rPr>
                <w:rFonts w:hint="eastAsia" w:ascii="宋体" w:hAnsi="宋体" w:cs="宋体"/>
                <w:color w:val="auto"/>
                <w:kern w:val="0"/>
                <w:szCs w:val="21"/>
                <w:highlight w:val="none"/>
              </w:rPr>
              <w:t>正交发射/接受体线圈</w:t>
            </w:r>
          </w:p>
        </w:tc>
        <w:tc>
          <w:tcPr>
            <w:tcW w:w="5537" w:type="dxa"/>
            <w:vAlign w:val="center"/>
          </w:tcPr>
          <w:p w14:paraId="3C5B0396">
            <w:pPr>
              <w:snapToGrid w:val="0"/>
              <w:spacing w:line="440" w:lineRule="exact"/>
              <w:rPr>
                <w:rFonts w:ascii="宋体" w:hAnsi="宋体" w:cs="宋体"/>
                <w:color w:val="auto"/>
                <w:kern w:val="0"/>
                <w:szCs w:val="21"/>
                <w:highlight w:val="none"/>
              </w:rPr>
            </w:pPr>
            <w:r>
              <w:rPr>
                <w:rFonts w:hint="eastAsia" w:ascii="宋体" w:hAnsi="宋体" w:cs="宋体"/>
                <w:color w:val="auto"/>
                <w:kern w:val="0"/>
                <w:szCs w:val="21"/>
                <w:highlight w:val="none"/>
              </w:rPr>
              <w:t>具备</w:t>
            </w:r>
          </w:p>
        </w:tc>
      </w:tr>
      <w:tr w14:paraId="64C54EA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7F113617">
            <w:pPr>
              <w:snapToGrid w:val="0"/>
              <w:spacing w:line="440" w:lineRule="exact"/>
              <w:jc w:val="center"/>
              <w:rPr>
                <w:rFonts w:ascii="宋体" w:hAnsi="宋体" w:cs="宋体"/>
                <w:color w:val="auto"/>
                <w:szCs w:val="21"/>
                <w:highlight w:val="none"/>
              </w:rPr>
            </w:pPr>
            <w:r>
              <w:rPr>
                <w:rFonts w:hint="eastAsia" w:ascii="宋体" w:hAnsi="宋体" w:cs="宋体"/>
                <w:b/>
                <w:bCs/>
                <w:color w:val="auto"/>
                <w:szCs w:val="21"/>
                <w:highlight w:val="none"/>
              </w:rPr>
              <w:t>▲</w:t>
            </w:r>
            <w:r>
              <w:rPr>
                <w:rFonts w:hint="eastAsia" w:ascii="宋体" w:hAnsi="宋体" w:cs="宋体"/>
                <w:color w:val="auto"/>
                <w:kern w:val="0"/>
                <w:szCs w:val="21"/>
                <w:highlight w:val="none"/>
              </w:rPr>
              <w:t>4.9.2</w:t>
            </w:r>
          </w:p>
        </w:tc>
        <w:tc>
          <w:tcPr>
            <w:tcW w:w="2767" w:type="dxa"/>
            <w:vAlign w:val="center"/>
          </w:tcPr>
          <w:p w14:paraId="7D9FB879">
            <w:pPr>
              <w:tabs>
                <w:tab w:val="left" w:pos="714"/>
              </w:tabs>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头颈联合线圈</w:t>
            </w:r>
          </w:p>
        </w:tc>
        <w:tc>
          <w:tcPr>
            <w:tcW w:w="5537" w:type="dxa"/>
            <w:vAlign w:val="center"/>
          </w:tcPr>
          <w:p w14:paraId="2C26FEA3">
            <w:pPr>
              <w:snapToGrid w:val="0"/>
              <w:spacing w:line="440" w:lineRule="exact"/>
              <w:rPr>
                <w:rFonts w:ascii="宋体" w:hAnsi="宋体" w:cs="宋体"/>
                <w:color w:val="auto"/>
                <w:szCs w:val="21"/>
                <w:highlight w:val="none"/>
              </w:rPr>
            </w:pPr>
            <w:r>
              <w:rPr>
                <w:rFonts w:hint="eastAsia" w:ascii="宋体" w:hAnsi="宋体" w:cs="宋体"/>
                <w:color w:val="auto"/>
                <w:kern w:val="0"/>
                <w:szCs w:val="21"/>
                <w:highlight w:val="none"/>
              </w:rPr>
              <w:t>具备</w:t>
            </w:r>
          </w:p>
        </w:tc>
      </w:tr>
      <w:tr w14:paraId="096D394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655382BA">
            <w:pPr>
              <w:snapToGrid w:val="0"/>
              <w:spacing w:line="440" w:lineRule="exact"/>
              <w:jc w:val="center"/>
              <w:rPr>
                <w:rFonts w:ascii="宋体" w:hAnsi="宋体" w:cs="宋体"/>
                <w:color w:val="auto"/>
                <w:szCs w:val="21"/>
                <w:highlight w:val="none"/>
              </w:rPr>
            </w:pPr>
            <w:r>
              <w:rPr>
                <w:rFonts w:hint="eastAsia" w:ascii="宋体" w:hAnsi="宋体" w:cs="宋体"/>
                <w:color w:val="auto"/>
                <w:kern w:val="0"/>
                <w:szCs w:val="21"/>
                <w:highlight w:val="none"/>
              </w:rPr>
              <w:t>4.9.3</w:t>
            </w:r>
          </w:p>
        </w:tc>
        <w:tc>
          <w:tcPr>
            <w:tcW w:w="2767" w:type="dxa"/>
            <w:vAlign w:val="center"/>
          </w:tcPr>
          <w:p w14:paraId="305BED73">
            <w:pPr>
              <w:tabs>
                <w:tab w:val="left" w:pos="714"/>
              </w:tabs>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体部相控阵线圈</w:t>
            </w:r>
          </w:p>
        </w:tc>
        <w:tc>
          <w:tcPr>
            <w:tcW w:w="5537" w:type="dxa"/>
            <w:vAlign w:val="center"/>
          </w:tcPr>
          <w:p w14:paraId="5FDD58E2">
            <w:pPr>
              <w:snapToGrid w:val="0"/>
              <w:spacing w:line="440" w:lineRule="exact"/>
              <w:rPr>
                <w:rFonts w:ascii="宋体" w:hAnsi="宋体" w:cs="宋体"/>
                <w:color w:val="auto"/>
                <w:szCs w:val="21"/>
                <w:highlight w:val="none"/>
              </w:rPr>
            </w:pPr>
            <w:r>
              <w:rPr>
                <w:rFonts w:hint="eastAsia" w:ascii="宋体" w:hAnsi="宋体" w:cs="宋体"/>
                <w:color w:val="auto"/>
                <w:kern w:val="0"/>
                <w:szCs w:val="21"/>
                <w:highlight w:val="none"/>
              </w:rPr>
              <w:t>具备</w:t>
            </w:r>
          </w:p>
        </w:tc>
      </w:tr>
      <w:tr w14:paraId="199DAE4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4B588E2D">
            <w:pPr>
              <w:snapToGrid w:val="0"/>
              <w:spacing w:line="440" w:lineRule="exact"/>
              <w:jc w:val="center"/>
              <w:rPr>
                <w:rFonts w:ascii="宋体" w:hAnsi="宋体" w:cs="宋体"/>
                <w:color w:val="auto"/>
                <w:szCs w:val="21"/>
                <w:highlight w:val="none"/>
              </w:rPr>
            </w:pPr>
            <w:r>
              <w:rPr>
                <w:rFonts w:hint="eastAsia" w:ascii="宋体" w:hAnsi="宋体" w:cs="宋体"/>
                <w:color w:val="auto"/>
                <w:kern w:val="0"/>
                <w:szCs w:val="21"/>
                <w:highlight w:val="none"/>
              </w:rPr>
              <w:t>4.9.4</w:t>
            </w:r>
          </w:p>
        </w:tc>
        <w:tc>
          <w:tcPr>
            <w:tcW w:w="2767" w:type="dxa"/>
            <w:vAlign w:val="center"/>
          </w:tcPr>
          <w:p w14:paraId="70BABEEB">
            <w:pPr>
              <w:tabs>
                <w:tab w:val="left" w:pos="714"/>
              </w:tabs>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全脊柱相控阵线圈</w:t>
            </w:r>
          </w:p>
        </w:tc>
        <w:tc>
          <w:tcPr>
            <w:tcW w:w="5537" w:type="dxa"/>
            <w:vAlign w:val="center"/>
          </w:tcPr>
          <w:p w14:paraId="6D3D6A9F">
            <w:pPr>
              <w:snapToGrid w:val="0"/>
              <w:spacing w:line="440" w:lineRule="exact"/>
              <w:rPr>
                <w:rFonts w:ascii="宋体" w:hAnsi="宋体" w:cs="宋体"/>
                <w:color w:val="auto"/>
                <w:szCs w:val="21"/>
                <w:highlight w:val="none"/>
              </w:rPr>
            </w:pPr>
            <w:r>
              <w:rPr>
                <w:rFonts w:hint="eastAsia" w:ascii="宋体" w:hAnsi="宋体" w:cs="宋体"/>
                <w:color w:val="auto"/>
                <w:kern w:val="0"/>
                <w:szCs w:val="21"/>
                <w:highlight w:val="none"/>
              </w:rPr>
              <w:t>具备</w:t>
            </w:r>
          </w:p>
        </w:tc>
      </w:tr>
      <w:tr w14:paraId="2DA523B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1B5830A5">
            <w:pPr>
              <w:snapToGrid w:val="0"/>
              <w:spacing w:line="440" w:lineRule="exact"/>
              <w:jc w:val="center"/>
              <w:rPr>
                <w:rFonts w:ascii="宋体" w:hAnsi="宋体" w:cs="宋体"/>
                <w:color w:val="auto"/>
                <w:szCs w:val="21"/>
                <w:highlight w:val="none"/>
              </w:rPr>
            </w:pPr>
            <w:r>
              <w:rPr>
                <w:rFonts w:hint="eastAsia" w:ascii="宋体" w:hAnsi="宋体" w:cs="宋体"/>
                <w:color w:val="auto"/>
                <w:kern w:val="0"/>
                <w:szCs w:val="21"/>
                <w:highlight w:val="none"/>
              </w:rPr>
              <w:t>4.9.5</w:t>
            </w:r>
          </w:p>
        </w:tc>
        <w:tc>
          <w:tcPr>
            <w:tcW w:w="2767" w:type="dxa"/>
            <w:vAlign w:val="center"/>
          </w:tcPr>
          <w:p w14:paraId="12368309">
            <w:pPr>
              <w:tabs>
                <w:tab w:val="left" w:pos="714"/>
              </w:tabs>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多功能柔性线圈（大）</w:t>
            </w:r>
          </w:p>
        </w:tc>
        <w:tc>
          <w:tcPr>
            <w:tcW w:w="5537" w:type="dxa"/>
            <w:vAlign w:val="center"/>
          </w:tcPr>
          <w:p w14:paraId="1770FA52">
            <w:pPr>
              <w:snapToGrid w:val="0"/>
              <w:spacing w:line="440" w:lineRule="exact"/>
              <w:rPr>
                <w:rFonts w:ascii="宋体" w:hAnsi="宋体" w:cs="宋体"/>
                <w:color w:val="auto"/>
                <w:szCs w:val="21"/>
                <w:highlight w:val="none"/>
              </w:rPr>
            </w:pPr>
            <w:r>
              <w:rPr>
                <w:rFonts w:hint="eastAsia" w:ascii="宋体" w:hAnsi="宋体" w:cs="宋体"/>
                <w:color w:val="auto"/>
                <w:kern w:val="0"/>
                <w:szCs w:val="21"/>
                <w:highlight w:val="none"/>
              </w:rPr>
              <w:t>具备</w:t>
            </w:r>
          </w:p>
        </w:tc>
      </w:tr>
      <w:tr w14:paraId="3E09859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4C0E4B53">
            <w:pPr>
              <w:snapToGrid w:val="0"/>
              <w:spacing w:line="4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4.9.6</w:t>
            </w:r>
          </w:p>
        </w:tc>
        <w:tc>
          <w:tcPr>
            <w:tcW w:w="2767" w:type="dxa"/>
            <w:vAlign w:val="center"/>
          </w:tcPr>
          <w:p w14:paraId="0471BD98">
            <w:pPr>
              <w:tabs>
                <w:tab w:val="left" w:pos="714"/>
              </w:tabs>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多功能柔性线圈（小）</w:t>
            </w:r>
          </w:p>
        </w:tc>
        <w:tc>
          <w:tcPr>
            <w:tcW w:w="5537" w:type="dxa"/>
            <w:vAlign w:val="center"/>
          </w:tcPr>
          <w:p w14:paraId="0404046B">
            <w:pPr>
              <w:snapToGrid w:val="0"/>
              <w:spacing w:line="440" w:lineRule="exact"/>
              <w:rPr>
                <w:rFonts w:ascii="宋体" w:hAnsi="宋体" w:cs="宋体"/>
                <w:color w:val="auto"/>
                <w:kern w:val="0"/>
                <w:szCs w:val="21"/>
                <w:highlight w:val="none"/>
              </w:rPr>
            </w:pPr>
            <w:r>
              <w:rPr>
                <w:rFonts w:hint="eastAsia" w:ascii="宋体" w:hAnsi="宋体" w:cs="宋体"/>
                <w:color w:val="auto"/>
                <w:kern w:val="0"/>
                <w:szCs w:val="21"/>
                <w:highlight w:val="none"/>
              </w:rPr>
              <w:t>具备</w:t>
            </w:r>
          </w:p>
        </w:tc>
      </w:tr>
      <w:tr w14:paraId="695293C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7E9C6C8E">
            <w:pPr>
              <w:snapToGrid w:val="0"/>
              <w:spacing w:line="440" w:lineRule="exact"/>
              <w:jc w:val="center"/>
              <w:rPr>
                <w:rFonts w:ascii="宋体" w:hAnsi="宋体" w:cs="宋体"/>
                <w:color w:val="auto"/>
                <w:szCs w:val="21"/>
                <w:highlight w:val="none"/>
              </w:rPr>
            </w:pPr>
            <w:r>
              <w:rPr>
                <w:rFonts w:hint="eastAsia" w:ascii="宋体" w:hAnsi="宋体" w:cs="宋体"/>
                <w:color w:val="auto"/>
                <w:kern w:val="0"/>
                <w:szCs w:val="21"/>
                <w:highlight w:val="none"/>
              </w:rPr>
              <w:t>▲4.9.7</w:t>
            </w:r>
          </w:p>
        </w:tc>
        <w:tc>
          <w:tcPr>
            <w:tcW w:w="2767" w:type="dxa"/>
            <w:vAlign w:val="center"/>
          </w:tcPr>
          <w:p w14:paraId="5C7D0AD7">
            <w:pPr>
              <w:tabs>
                <w:tab w:val="left" w:pos="714"/>
              </w:tabs>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专用膝关节线圈</w:t>
            </w:r>
          </w:p>
        </w:tc>
        <w:tc>
          <w:tcPr>
            <w:tcW w:w="5537" w:type="dxa"/>
            <w:vAlign w:val="center"/>
          </w:tcPr>
          <w:p w14:paraId="79A28F8B">
            <w:pPr>
              <w:snapToGrid w:val="0"/>
              <w:spacing w:line="440" w:lineRule="exact"/>
              <w:rPr>
                <w:rFonts w:ascii="宋体" w:hAnsi="宋体" w:cs="宋体"/>
                <w:color w:val="auto"/>
                <w:kern w:val="0"/>
                <w:szCs w:val="21"/>
                <w:highlight w:val="none"/>
              </w:rPr>
            </w:pPr>
            <w:r>
              <w:rPr>
                <w:rFonts w:hint="eastAsia" w:ascii="宋体" w:hAnsi="宋体" w:cs="宋体"/>
                <w:color w:val="auto"/>
                <w:kern w:val="0"/>
                <w:szCs w:val="21"/>
                <w:highlight w:val="none"/>
              </w:rPr>
              <w:t>具备，不可用其他柔性线圈替代</w:t>
            </w:r>
          </w:p>
        </w:tc>
      </w:tr>
      <w:tr w14:paraId="0166214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258B76C1">
            <w:pPr>
              <w:snapToGrid w:val="0"/>
              <w:spacing w:line="4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4.9.8</w:t>
            </w:r>
          </w:p>
        </w:tc>
        <w:tc>
          <w:tcPr>
            <w:tcW w:w="2767" w:type="dxa"/>
            <w:vAlign w:val="center"/>
          </w:tcPr>
          <w:p w14:paraId="543DBEA9">
            <w:pPr>
              <w:tabs>
                <w:tab w:val="left" w:pos="714"/>
              </w:tabs>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专用肩关节线圈</w:t>
            </w:r>
          </w:p>
        </w:tc>
        <w:tc>
          <w:tcPr>
            <w:tcW w:w="5537" w:type="dxa"/>
            <w:vAlign w:val="center"/>
          </w:tcPr>
          <w:p w14:paraId="7298E824">
            <w:pPr>
              <w:snapToGrid w:val="0"/>
              <w:spacing w:line="440" w:lineRule="exact"/>
              <w:rPr>
                <w:rFonts w:ascii="宋体" w:hAnsi="宋体" w:cs="宋体"/>
                <w:color w:val="auto"/>
                <w:kern w:val="0"/>
                <w:szCs w:val="21"/>
                <w:highlight w:val="none"/>
              </w:rPr>
            </w:pPr>
            <w:r>
              <w:rPr>
                <w:rFonts w:hint="eastAsia" w:ascii="宋体" w:hAnsi="宋体" w:cs="宋体"/>
                <w:color w:val="auto"/>
                <w:kern w:val="0"/>
                <w:szCs w:val="21"/>
                <w:highlight w:val="none"/>
              </w:rPr>
              <w:t>具备，不可用其他柔性线圈替代</w:t>
            </w:r>
          </w:p>
        </w:tc>
      </w:tr>
      <w:tr w14:paraId="7F0BC5C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05A92E66">
            <w:pPr>
              <w:snapToGrid w:val="0"/>
              <w:spacing w:line="4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▲4.9.9</w:t>
            </w:r>
          </w:p>
        </w:tc>
        <w:tc>
          <w:tcPr>
            <w:tcW w:w="2767" w:type="dxa"/>
            <w:vAlign w:val="center"/>
          </w:tcPr>
          <w:p w14:paraId="7DE4DE99">
            <w:pPr>
              <w:tabs>
                <w:tab w:val="left" w:pos="714"/>
              </w:tabs>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线圈接口数</w:t>
            </w:r>
          </w:p>
        </w:tc>
        <w:tc>
          <w:tcPr>
            <w:tcW w:w="5537" w:type="dxa"/>
            <w:vAlign w:val="center"/>
          </w:tcPr>
          <w:p w14:paraId="4DE5048A">
            <w:pPr>
              <w:snapToGrid w:val="0"/>
              <w:spacing w:line="440" w:lineRule="exact"/>
              <w:rPr>
                <w:rFonts w:ascii="宋体" w:hAnsi="宋体" w:cs="宋体"/>
                <w:color w:val="auto"/>
                <w:kern w:val="0"/>
                <w:szCs w:val="21"/>
                <w:highlight w:val="none"/>
              </w:rPr>
            </w:pPr>
            <w:r>
              <w:rPr>
                <w:rFonts w:hint="eastAsia" w:ascii="宋体" w:hAnsi="宋体" w:cs="宋体"/>
                <w:color w:val="auto"/>
                <w:kern w:val="0"/>
                <w:szCs w:val="21"/>
                <w:highlight w:val="none"/>
              </w:rPr>
              <w:t>≥6个，必须可同时接驳使用。</w:t>
            </w:r>
          </w:p>
        </w:tc>
      </w:tr>
      <w:tr w14:paraId="7BEC761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5EC7AEBD">
            <w:pPr>
              <w:snapToGrid w:val="0"/>
              <w:spacing w:line="4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4.9.10</w:t>
            </w:r>
          </w:p>
        </w:tc>
        <w:tc>
          <w:tcPr>
            <w:tcW w:w="2767" w:type="dxa"/>
            <w:vAlign w:val="center"/>
          </w:tcPr>
          <w:p w14:paraId="67E02BA5">
            <w:pPr>
              <w:tabs>
                <w:tab w:val="left" w:pos="714"/>
              </w:tabs>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线圈联合扫描技术</w:t>
            </w:r>
          </w:p>
        </w:tc>
        <w:tc>
          <w:tcPr>
            <w:tcW w:w="5537" w:type="dxa"/>
            <w:vAlign w:val="center"/>
          </w:tcPr>
          <w:p w14:paraId="731BDC03">
            <w:pPr>
              <w:snapToGrid w:val="0"/>
              <w:spacing w:line="440" w:lineRule="exact"/>
              <w:rPr>
                <w:rFonts w:ascii="宋体" w:hAnsi="宋体" w:cs="宋体"/>
                <w:color w:val="auto"/>
                <w:kern w:val="0"/>
                <w:szCs w:val="21"/>
                <w:highlight w:val="none"/>
              </w:rPr>
            </w:pPr>
            <w:r>
              <w:rPr>
                <w:rFonts w:hint="eastAsia" w:ascii="宋体" w:hAnsi="宋体" w:cs="宋体"/>
                <w:color w:val="auto"/>
                <w:kern w:val="0"/>
                <w:szCs w:val="21"/>
                <w:highlight w:val="none"/>
              </w:rPr>
              <w:t>具备，投标机型可通过多个线圈联合扫描，实现一次进床完成全身检查</w:t>
            </w:r>
          </w:p>
        </w:tc>
      </w:tr>
      <w:tr w14:paraId="1BE17C6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1268" w:type="dxa"/>
            <w:vAlign w:val="center"/>
          </w:tcPr>
          <w:p w14:paraId="02622B01">
            <w:pPr>
              <w:pStyle w:val="37"/>
              <w:numPr>
                <w:ilvl w:val="0"/>
                <w:numId w:val="4"/>
              </w:numPr>
              <w:tabs>
                <w:tab w:val="left" w:pos="1620"/>
              </w:tabs>
              <w:snapToGrid w:val="0"/>
              <w:spacing w:line="440" w:lineRule="exact"/>
              <w:ind w:firstLineChars="0"/>
              <w:jc w:val="center"/>
              <w:rPr>
                <w:rFonts w:ascii="宋体" w:hAnsi="宋体" w:cs="宋体"/>
                <w:b/>
                <w:color w:val="auto"/>
                <w:szCs w:val="21"/>
                <w:highlight w:val="none"/>
              </w:rPr>
            </w:pPr>
          </w:p>
        </w:tc>
        <w:tc>
          <w:tcPr>
            <w:tcW w:w="2767" w:type="dxa"/>
            <w:vAlign w:val="center"/>
          </w:tcPr>
          <w:p w14:paraId="4B55BD74">
            <w:pPr>
              <w:tabs>
                <w:tab w:val="left" w:pos="1620"/>
              </w:tabs>
              <w:snapToGrid w:val="0"/>
              <w:spacing w:line="440" w:lineRule="exact"/>
              <w:rPr>
                <w:rFonts w:ascii="宋体" w:hAnsi="宋体" w:cs="宋体"/>
                <w:b/>
                <w:color w:val="auto"/>
                <w:szCs w:val="21"/>
                <w:highlight w:val="none"/>
              </w:rPr>
            </w:pPr>
            <w:r>
              <w:rPr>
                <w:rFonts w:hint="eastAsia" w:ascii="宋体" w:hAnsi="宋体" w:cs="宋体"/>
                <w:b/>
                <w:color w:val="auto"/>
                <w:szCs w:val="21"/>
                <w:highlight w:val="none"/>
              </w:rPr>
              <w:t>计算机系统</w:t>
            </w:r>
          </w:p>
        </w:tc>
        <w:tc>
          <w:tcPr>
            <w:tcW w:w="5537" w:type="dxa"/>
            <w:vAlign w:val="center"/>
          </w:tcPr>
          <w:p w14:paraId="07A58D28">
            <w:pPr>
              <w:tabs>
                <w:tab w:val="left" w:pos="1620"/>
              </w:tabs>
              <w:snapToGrid w:val="0"/>
              <w:spacing w:line="440" w:lineRule="exact"/>
              <w:rPr>
                <w:rFonts w:ascii="宋体" w:hAnsi="宋体" w:cs="宋体"/>
                <w:b/>
                <w:color w:val="auto"/>
                <w:szCs w:val="21"/>
                <w:highlight w:val="none"/>
              </w:rPr>
            </w:pPr>
            <w:r>
              <w:rPr>
                <w:rFonts w:hint="eastAsia" w:ascii="宋体" w:hAnsi="宋体" w:cs="宋体"/>
                <w:b/>
                <w:color w:val="auto"/>
                <w:szCs w:val="21"/>
                <w:highlight w:val="none"/>
              </w:rPr>
              <w:t>以下参数以datasheet为准</w:t>
            </w:r>
          </w:p>
        </w:tc>
      </w:tr>
      <w:tr w14:paraId="0916527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54C052B0">
            <w:pPr>
              <w:tabs>
                <w:tab w:val="left" w:pos="1620"/>
              </w:tabs>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5.1</w:t>
            </w:r>
          </w:p>
        </w:tc>
        <w:tc>
          <w:tcPr>
            <w:tcW w:w="2767" w:type="dxa"/>
            <w:vAlign w:val="center"/>
          </w:tcPr>
          <w:p w14:paraId="30A3AC8E">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主机CPU主频</w:t>
            </w:r>
          </w:p>
        </w:tc>
        <w:tc>
          <w:tcPr>
            <w:tcW w:w="5537" w:type="dxa"/>
            <w:vAlign w:val="center"/>
          </w:tcPr>
          <w:p w14:paraId="70011492">
            <w:pPr>
              <w:tabs>
                <w:tab w:val="center" w:pos="1647"/>
              </w:tabs>
              <w:snapToGrid w:val="0"/>
              <w:spacing w:line="440" w:lineRule="exact"/>
              <w:rPr>
                <w:rFonts w:ascii="宋体" w:hAnsi="宋体" w:cs="宋体"/>
                <w:bCs/>
                <w:color w:val="auto"/>
                <w:szCs w:val="21"/>
                <w:highlight w:val="none"/>
              </w:rPr>
            </w:pPr>
            <w:r>
              <w:rPr>
                <w:rFonts w:hint="eastAsia" w:ascii="宋体" w:hAnsi="宋体" w:cs="宋体"/>
                <w:color w:val="auto"/>
                <w:szCs w:val="21"/>
                <w:highlight w:val="none"/>
              </w:rPr>
              <w:t>≥3.5GHz</w:t>
            </w:r>
          </w:p>
        </w:tc>
      </w:tr>
      <w:tr w14:paraId="12962A7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2F60CECE">
            <w:pPr>
              <w:tabs>
                <w:tab w:val="left" w:pos="1620"/>
              </w:tabs>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5.2</w:t>
            </w:r>
          </w:p>
        </w:tc>
        <w:tc>
          <w:tcPr>
            <w:tcW w:w="2767" w:type="dxa"/>
            <w:vAlign w:val="center"/>
          </w:tcPr>
          <w:p w14:paraId="11FC88FD">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处理器位数</w:t>
            </w:r>
          </w:p>
        </w:tc>
        <w:tc>
          <w:tcPr>
            <w:tcW w:w="5537" w:type="dxa"/>
            <w:vAlign w:val="center"/>
          </w:tcPr>
          <w:p w14:paraId="7E2C0A99">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≥64位</w:t>
            </w:r>
          </w:p>
        </w:tc>
      </w:tr>
      <w:tr w14:paraId="7C418FD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2C79DE42">
            <w:pPr>
              <w:tabs>
                <w:tab w:val="left" w:pos="1620"/>
              </w:tabs>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5.3</w:t>
            </w:r>
          </w:p>
        </w:tc>
        <w:tc>
          <w:tcPr>
            <w:tcW w:w="2767" w:type="dxa"/>
            <w:vAlign w:val="center"/>
          </w:tcPr>
          <w:p w14:paraId="08EAD147">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内存容量</w:t>
            </w:r>
          </w:p>
        </w:tc>
        <w:tc>
          <w:tcPr>
            <w:tcW w:w="5537" w:type="dxa"/>
            <w:vAlign w:val="center"/>
          </w:tcPr>
          <w:p w14:paraId="7E0A7D71">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≥64GB</w:t>
            </w:r>
          </w:p>
        </w:tc>
      </w:tr>
      <w:tr w14:paraId="0F24E0E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3615222B">
            <w:pPr>
              <w:tabs>
                <w:tab w:val="left" w:pos="1620"/>
              </w:tabs>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5.4</w:t>
            </w:r>
          </w:p>
        </w:tc>
        <w:tc>
          <w:tcPr>
            <w:tcW w:w="2767" w:type="dxa"/>
            <w:vAlign w:val="center"/>
          </w:tcPr>
          <w:p w14:paraId="5A29F752">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硬盘容量</w:t>
            </w:r>
          </w:p>
        </w:tc>
        <w:tc>
          <w:tcPr>
            <w:tcW w:w="5537" w:type="dxa"/>
            <w:vAlign w:val="center"/>
          </w:tcPr>
          <w:p w14:paraId="0848409B">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≥480GB</w:t>
            </w:r>
          </w:p>
        </w:tc>
      </w:tr>
      <w:tr w14:paraId="7763FC5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427D25F1">
            <w:pPr>
              <w:tabs>
                <w:tab w:val="left" w:pos="1620"/>
              </w:tabs>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5.5</w:t>
            </w:r>
          </w:p>
        </w:tc>
        <w:tc>
          <w:tcPr>
            <w:tcW w:w="2767" w:type="dxa"/>
            <w:vAlign w:val="center"/>
          </w:tcPr>
          <w:p w14:paraId="4508BB37">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显示器分辨率</w:t>
            </w:r>
          </w:p>
        </w:tc>
        <w:tc>
          <w:tcPr>
            <w:tcW w:w="5537" w:type="dxa"/>
            <w:vAlign w:val="center"/>
          </w:tcPr>
          <w:p w14:paraId="09A6DCC4">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≥1920 x 1200</w:t>
            </w:r>
          </w:p>
        </w:tc>
      </w:tr>
      <w:tr w14:paraId="018E7B4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218D5955">
            <w:pPr>
              <w:tabs>
                <w:tab w:val="left" w:pos="1620"/>
              </w:tabs>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5.6</w:t>
            </w:r>
          </w:p>
        </w:tc>
        <w:tc>
          <w:tcPr>
            <w:tcW w:w="2767" w:type="dxa"/>
            <w:vAlign w:val="center"/>
          </w:tcPr>
          <w:p w14:paraId="5290451B">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显示器大小及规格</w:t>
            </w:r>
          </w:p>
        </w:tc>
        <w:tc>
          <w:tcPr>
            <w:tcW w:w="5537" w:type="dxa"/>
            <w:vAlign w:val="center"/>
          </w:tcPr>
          <w:p w14:paraId="71985F5F">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≥24英寸，专业级彩色显示器</w:t>
            </w:r>
          </w:p>
        </w:tc>
      </w:tr>
      <w:tr w14:paraId="2C9CB9C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5A788A88">
            <w:pPr>
              <w:tabs>
                <w:tab w:val="left" w:pos="1620"/>
              </w:tabs>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5.7</w:t>
            </w:r>
          </w:p>
        </w:tc>
        <w:tc>
          <w:tcPr>
            <w:tcW w:w="2767" w:type="dxa"/>
            <w:vAlign w:val="center"/>
          </w:tcPr>
          <w:p w14:paraId="6FA8E95F">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控制重建计算机CPU主频</w:t>
            </w:r>
          </w:p>
        </w:tc>
        <w:tc>
          <w:tcPr>
            <w:tcW w:w="5537" w:type="dxa"/>
            <w:vAlign w:val="center"/>
          </w:tcPr>
          <w:p w14:paraId="066BEA5B">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主频≥2.0GHz</w:t>
            </w:r>
          </w:p>
        </w:tc>
      </w:tr>
      <w:tr w14:paraId="0191AC2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3A4D51CC">
            <w:pPr>
              <w:tabs>
                <w:tab w:val="left" w:pos="1620"/>
              </w:tabs>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5.8</w:t>
            </w:r>
          </w:p>
        </w:tc>
        <w:tc>
          <w:tcPr>
            <w:tcW w:w="2767" w:type="dxa"/>
            <w:vAlign w:val="center"/>
          </w:tcPr>
          <w:p w14:paraId="5DE02916">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控制重建计算机内存容量</w:t>
            </w:r>
          </w:p>
        </w:tc>
        <w:tc>
          <w:tcPr>
            <w:tcW w:w="5537" w:type="dxa"/>
            <w:vAlign w:val="center"/>
          </w:tcPr>
          <w:p w14:paraId="0F63FB21">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 xml:space="preserve">≥48GB </w:t>
            </w:r>
          </w:p>
        </w:tc>
      </w:tr>
      <w:tr w14:paraId="7035C89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4359EF3B">
            <w:pPr>
              <w:tabs>
                <w:tab w:val="left" w:pos="1620"/>
              </w:tabs>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5.9</w:t>
            </w:r>
          </w:p>
        </w:tc>
        <w:tc>
          <w:tcPr>
            <w:tcW w:w="2767" w:type="dxa"/>
            <w:vAlign w:val="center"/>
          </w:tcPr>
          <w:p w14:paraId="457A023C">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控制重建计算机硬盘容量</w:t>
            </w:r>
          </w:p>
        </w:tc>
        <w:tc>
          <w:tcPr>
            <w:tcW w:w="5537" w:type="dxa"/>
            <w:vAlign w:val="center"/>
          </w:tcPr>
          <w:p w14:paraId="6AE44D24">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≥480GB</w:t>
            </w:r>
          </w:p>
        </w:tc>
      </w:tr>
      <w:tr w14:paraId="4E1067A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6EED3FB0">
            <w:pPr>
              <w:tabs>
                <w:tab w:val="left" w:pos="1620"/>
              </w:tabs>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5.10</w:t>
            </w:r>
          </w:p>
        </w:tc>
        <w:tc>
          <w:tcPr>
            <w:tcW w:w="2767" w:type="dxa"/>
            <w:vAlign w:val="center"/>
          </w:tcPr>
          <w:p w14:paraId="638D83E0">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图像重建速度(256*256)</w:t>
            </w:r>
          </w:p>
        </w:tc>
        <w:tc>
          <w:tcPr>
            <w:tcW w:w="5537" w:type="dxa"/>
            <w:vAlign w:val="center"/>
          </w:tcPr>
          <w:p w14:paraId="4EA6894D">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≥60000幅/秒</w:t>
            </w:r>
          </w:p>
        </w:tc>
      </w:tr>
      <w:tr w14:paraId="39132C3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157E0D23">
            <w:pPr>
              <w:tabs>
                <w:tab w:val="left" w:pos="1620"/>
              </w:tabs>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5.11</w:t>
            </w:r>
          </w:p>
        </w:tc>
        <w:tc>
          <w:tcPr>
            <w:tcW w:w="2767" w:type="dxa"/>
            <w:vAlign w:val="center"/>
          </w:tcPr>
          <w:p w14:paraId="5CD4DA57">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最大采集矩阵</w:t>
            </w:r>
          </w:p>
        </w:tc>
        <w:tc>
          <w:tcPr>
            <w:tcW w:w="5537" w:type="dxa"/>
            <w:vAlign w:val="center"/>
          </w:tcPr>
          <w:p w14:paraId="28121C70">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1024 × 1024</w:t>
            </w:r>
          </w:p>
        </w:tc>
      </w:tr>
      <w:tr w14:paraId="5CF05F1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0DBB7643">
            <w:pPr>
              <w:tabs>
                <w:tab w:val="left" w:pos="1620"/>
              </w:tabs>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5.12</w:t>
            </w:r>
          </w:p>
        </w:tc>
        <w:tc>
          <w:tcPr>
            <w:tcW w:w="2767" w:type="dxa"/>
            <w:vAlign w:val="center"/>
          </w:tcPr>
          <w:p w14:paraId="73B1C5E7">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同步扫描重建功能</w:t>
            </w:r>
          </w:p>
          <w:p w14:paraId="027D6BC5">
            <w:pPr>
              <w:snapToGrid w:val="0"/>
              <w:spacing w:line="440" w:lineRule="exact"/>
              <w:rPr>
                <w:rFonts w:ascii="宋体" w:hAnsi="宋体" w:cs="宋体"/>
                <w:color w:val="auto"/>
                <w:szCs w:val="21"/>
                <w:highlight w:val="none"/>
              </w:rPr>
            </w:pPr>
          </w:p>
        </w:tc>
        <w:tc>
          <w:tcPr>
            <w:tcW w:w="5537" w:type="dxa"/>
            <w:vAlign w:val="center"/>
          </w:tcPr>
          <w:p w14:paraId="34971151">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扫描,采集,重建时可同时进行阅片,后处理,照相和存盘功能</w:t>
            </w:r>
          </w:p>
        </w:tc>
      </w:tr>
      <w:tr w14:paraId="499DCB1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1A8AA686">
            <w:pPr>
              <w:pStyle w:val="37"/>
              <w:numPr>
                <w:ilvl w:val="0"/>
                <w:numId w:val="4"/>
              </w:numPr>
              <w:tabs>
                <w:tab w:val="left" w:pos="1620"/>
              </w:tabs>
              <w:snapToGrid w:val="0"/>
              <w:spacing w:line="440" w:lineRule="exact"/>
              <w:ind w:firstLineChars="0"/>
              <w:jc w:val="center"/>
              <w:rPr>
                <w:rFonts w:ascii="宋体" w:hAnsi="宋体" w:cs="宋体"/>
                <w:b/>
                <w:bCs/>
                <w:color w:val="auto"/>
                <w:szCs w:val="21"/>
                <w:highlight w:val="none"/>
              </w:rPr>
            </w:pPr>
          </w:p>
        </w:tc>
        <w:tc>
          <w:tcPr>
            <w:tcW w:w="2767" w:type="dxa"/>
            <w:vAlign w:val="center"/>
          </w:tcPr>
          <w:p w14:paraId="04BDBA52">
            <w:pPr>
              <w:tabs>
                <w:tab w:val="left" w:pos="1620"/>
              </w:tabs>
              <w:snapToGrid w:val="0"/>
              <w:spacing w:line="440" w:lineRule="exact"/>
              <w:rPr>
                <w:rFonts w:ascii="宋体" w:hAnsi="宋体" w:cs="宋体"/>
                <w:b/>
                <w:bCs/>
                <w:color w:val="auto"/>
                <w:szCs w:val="21"/>
                <w:highlight w:val="none"/>
              </w:rPr>
            </w:pPr>
            <w:r>
              <w:rPr>
                <w:rFonts w:hint="eastAsia" w:ascii="宋体" w:hAnsi="宋体" w:cs="宋体"/>
                <w:b/>
                <w:bCs/>
                <w:color w:val="auto"/>
                <w:szCs w:val="21"/>
                <w:highlight w:val="none"/>
              </w:rPr>
              <w:t>后处理接口</w:t>
            </w:r>
          </w:p>
        </w:tc>
        <w:tc>
          <w:tcPr>
            <w:tcW w:w="5537" w:type="dxa"/>
            <w:vAlign w:val="center"/>
          </w:tcPr>
          <w:p w14:paraId="3EC5C910">
            <w:pPr>
              <w:tabs>
                <w:tab w:val="left" w:pos="1620"/>
              </w:tabs>
              <w:snapToGrid w:val="0"/>
              <w:spacing w:line="440" w:lineRule="exact"/>
              <w:rPr>
                <w:rFonts w:ascii="宋体" w:hAnsi="宋体" w:cs="宋体"/>
                <w:b/>
                <w:bCs/>
                <w:color w:val="auto"/>
                <w:szCs w:val="21"/>
                <w:highlight w:val="none"/>
              </w:rPr>
            </w:pPr>
          </w:p>
        </w:tc>
      </w:tr>
      <w:tr w14:paraId="10A6842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6A679D94">
            <w:pPr>
              <w:tabs>
                <w:tab w:val="left" w:pos="1620"/>
              </w:tabs>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6.1</w:t>
            </w:r>
          </w:p>
        </w:tc>
        <w:tc>
          <w:tcPr>
            <w:tcW w:w="2767" w:type="dxa"/>
            <w:vAlign w:val="center"/>
          </w:tcPr>
          <w:p w14:paraId="247A0AAE">
            <w:pPr>
              <w:tabs>
                <w:tab w:val="left" w:pos="1620"/>
              </w:tabs>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软件控制照相技术</w:t>
            </w:r>
          </w:p>
        </w:tc>
        <w:tc>
          <w:tcPr>
            <w:tcW w:w="5537" w:type="dxa"/>
            <w:vAlign w:val="center"/>
          </w:tcPr>
          <w:p w14:paraId="2567F123">
            <w:pPr>
              <w:tabs>
                <w:tab w:val="left" w:pos="1620"/>
              </w:tabs>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3A7D889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56927789">
            <w:pPr>
              <w:tabs>
                <w:tab w:val="left" w:pos="1620"/>
              </w:tabs>
              <w:snapToGrid w:val="0"/>
              <w:spacing w:line="440" w:lineRule="exact"/>
              <w:jc w:val="center"/>
              <w:rPr>
                <w:rFonts w:ascii="宋体" w:hAnsi="宋体" w:cs="宋体"/>
                <w:color w:val="auto"/>
                <w:szCs w:val="21"/>
                <w:highlight w:val="none"/>
              </w:rPr>
            </w:pPr>
            <w:r>
              <w:rPr>
                <w:rFonts w:hint="eastAsia" w:ascii="宋体" w:hAnsi="宋体" w:cs="宋体"/>
                <w:b/>
                <w:bCs/>
                <w:color w:val="auto"/>
                <w:szCs w:val="21"/>
                <w:highlight w:val="none"/>
              </w:rPr>
              <w:t>6.2</w:t>
            </w:r>
          </w:p>
        </w:tc>
        <w:tc>
          <w:tcPr>
            <w:tcW w:w="2767" w:type="dxa"/>
            <w:vAlign w:val="center"/>
          </w:tcPr>
          <w:p w14:paraId="16AFB27E">
            <w:pPr>
              <w:snapToGrid w:val="0"/>
              <w:spacing w:line="440" w:lineRule="exact"/>
              <w:jc w:val="left"/>
              <w:rPr>
                <w:rFonts w:ascii="宋体" w:hAnsi="宋体" w:cs="宋体"/>
                <w:color w:val="auto"/>
                <w:szCs w:val="21"/>
                <w:highlight w:val="none"/>
              </w:rPr>
            </w:pPr>
            <w:r>
              <w:rPr>
                <w:rFonts w:hint="eastAsia" w:ascii="宋体" w:hAnsi="宋体" w:cs="宋体"/>
                <w:color w:val="auto"/>
                <w:szCs w:val="21"/>
                <w:highlight w:val="none"/>
              </w:rPr>
              <w:t>DICOM 3.0接口及与医院HIS无缝对接（包括打印，传输，接收，查询,Worklist ,MPPS等功能）</w:t>
            </w:r>
          </w:p>
        </w:tc>
        <w:tc>
          <w:tcPr>
            <w:tcW w:w="5537" w:type="dxa"/>
            <w:vAlign w:val="center"/>
          </w:tcPr>
          <w:p w14:paraId="2B3E3ADD">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0F9D7BB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4E268F2E">
            <w:pPr>
              <w:tabs>
                <w:tab w:val="left" w:pos="1620"/>
              </w:tabs>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6.3</w:t>
            </w:r>
          </w:p>
        </w:tc>
        <w:tc>
          <w:tcPr>
            <w:tcW w:w="2767" w:type="dxa"/>
            <w:vAlign w:val="center"/>
          </w:tcPr>
          <w:p w14:paraId="5390415B">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标准激光相机数字接口</w:t>
            </w:r>
          </w:p>
        </w:tc>
        <w:tc>
          <w:tcPr>
            <w:tcW w:w="5537" w:type="dxa"/>
            <w:vAlign w:val="center"/>
          </w:tcPr>
          <w:p w14:paraId="01A9CD19">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653378B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2C2E6A8F">
            <w:pPr>
              <w:pStyle w:val="37"/>
              <w:numPr>
                <w:ilvl w:val="0"/>
                <w:numId w:val="4"/>
              </w:numPr>
              <w:snapToGrid w:val="0"/>
              <w:spacing w:line="440" w:lineRule="exact"/>
              <w:ind w:firstLineChars="0"/>
              <w:jc w:val="center"/>
              <w:rPr>
                <w:rFonts w:ascii="宋体" w:hAnsi="宋体" w:cs="宋体"/>
                <w:b/>
                <w:bCs/>
                <w:color w:val="auto"/>
                <w:szCs w:val="21"/>
                <w:highlight w:val="none"/>
              </w:rPr>
            </w:pPr>
          </w:p>
        </w:tc>
        <w:tc>
          <w:tcPr>
            <w:tcW w:w="2767" w:type="dxa"/>
            <w:vAlign w:val="center"/>
          </w:tcPr>
          <w:p w14:paraId="7BCE19FD">
            <w:pPr>
              <w:snapToGrid w:val="0"/>
              <w:spacing w:line="440" w:lineRule="exact"/>
              <w:rPr>
                <w:rFonts w:ascii="宋体" w:hAnsi="宋体" w:cs="宋体"/>
                <w:b/>
                <w:bCs/>
                <w:color w:val="auto"/>
                <w:szCs w:val="21"/>
                <w:highlight w:val="none"/>
              </w:rPr>
            </w:pPr>
            <w:r>
              <w:rPr>
                <w:rFonts w:hint="eastAsia" w:ascii="宋体" w:hAnsi="宋体" w:cs="宋体"/>
                <w:b/>
                <w:bCs/>
                <w:color w:val="auto"/>
                <w:szCs w:val="21"/>
                <w:highlight w:val="none"/>
              </w:rPr>
              <w:t>扫描参数 </w:t>
            </w:r>
          </w:p>
        </w:tc>
        <w:tc>
          <w:tcPr>
            <w:tcW w:w="5537" w:type="dxa"/>
            <w:vAlign w:val="center"/>
          </w:tcPr>
          <w:p w14:paraId="4282163F">
            <w:pPr>
              <w:snapToGrid w:val="0"/>
              <w:spacing w:line="440" w:lineRule="exact"/>
              <w:rPr>
                <w:rFonts w:ascii="宋体" w:hAnsi="宋体" w:cs="宋体"/>
                <w:b/>
                <w:bCs/>
                <w:color w:val="auto"/>
                <w:szCs w:val="21"/>
                <w:highlight w:val="none"/>
              </w:rPr>
            </w:pPr>
          </w:p>
        </w:tc>
      </w:tr>
      <w:tr w14:paraId="3368D61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1268" w:type="dxa"/>
            <w:vAlign w:val="center"/>
          </w:tcPr>
          <w:p w14:paraId="147433A6">
            <w:pPr>
              <w:snapToGrid w:val="0"/>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7.1</w:t>
            </w:r>
          </w:p>
        </w:tc>
        <w:tc>
          <w:tcPr>
            <w:tcW w:w="2767" w:type="dxa"/>
            <w:vAlign w:val="center"/>
          </w:tcPr>
          <w:p w14:paraId="603BA215">
            <w:pPr>
              <w:snapToGrid w:val="0"/>
              <w:spacing w:line="440" w:lineRule="exact"/>
              <w:rPr>
                <w:rFonts w:ascii="宋体" w:hAnsi="宋体" w:cs="宋体"/>
                <w:bCs/>
                <w:color w:val="auto"/>
                <w:szCs w:val="21"/>
                <w:highlight w:val="none"/>
              </w:rPr>
            </w:pPr>
            <w:r>
              <w:rPr>
                <w:rFonts w:hint="eastAsia" w:ascii="宋体" w:hAnsi="宋体" w:cs="宋体"/>
                <w:bCs/>
                <w:color w:val="auto"/>
                <w:szCs w:val="21"/>
                <w:highlight w:val="none"/>
              </w:rPr>
              <w:t>X轴最大FOV</w:t>
            </w:r>
          </w:p>
        </w:tc>
        <w:tc>
          <w:tcPr>
            <w:tcW w:w="5537" w:type="dxa"/>
            <w:vAlign w:val="center"/>
          </w:tcPr>
          <w:p w14:paraId="66565111">
            <w:pPr>
              <w:snapToGrid w:val="0"/>
              <w:spacing w:line="440" w:lineRule="exact"/>
              <w:rPr>
                <w:rFonts w:ascii="宋体" w:hAnsi="宋体" w:cs="宋体"/>
                <w:b/>
                <w:bCs/>
                <w:color w:val="auto"/>
                <w:szCs w:val="21"/>
                <w:highlight w:val="none"/>
              </w:rPr>
            </w:pPr>
            <w:r>
              <w:rPr>
                <w:rFonts w:hint="eastAsia" w:ascii="宋体" w:hAnsi="宋体" w:cs="宋体"/>
                <w:color w:val="auto"/>
                <w:szCs w:val="21"/>
                <w:highlight w:val="none"/>
              </w:rPr>
              <w:t>≥500mm</w:t>
            </w:r>
          </w:p>
        </w:tc>
      </w:tr>
      <w:tr w14:paraId="1DD4A9C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618DC908">
            <w:pPr>
              <w:snapToGrid w:val="0"/>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7.2</w:t>
            </w:r>
          </w:p>
        </w:tc>
        <w:tc>
          <w:tcPr>
            <w:tcW w:w="2767" w:type="dxa"/>
            <w:vAlign w:val="center"/>
          </w:tcPr>
          <w:p w14:paraId="7A993958">
            <w:pPr>
              <w:snapToGrid w:val="0"/>
              <w:spacing w:line="440" w:lineRule="exact"/>
              <w:rPr>
                <w:rFonts w:ascii="宋体" w:hAnsi="宋体" w:cs="宋体"/>
                <w:bCs/>
                <w:color w:val="auto"/>
                <w:szCs w:val="21"/>
                <w:highlight w:val="none"/>
              </w:rPr>
            </w:pPr>
            <w:r>
              <w:rPr>
                <w:rFonts w:hint="eastAsia" w:ascii="宋体" w:hAnsi="宋体" w:cs="宋体"/>
                <w:bCs/>
                <w:color w:val="auto"/>
                <w:szCs w:val="21"/>
                <w:highlight w:val="none"/>
              </w:rPr>
              <w:t>Y轴最大FOV</w:t>
            </w:r>
          </w:p>
        </w:tc>
        <w:tc>
          <w:tcPr>
            <w:tcW w:w="5537" w:type="dxa"/>
            <w:vAlign w:val="center"/>
          </w:tcPr>
          <w:p w14:paraId="19F010F3">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≥500mm</w:t>
            </w:r>
          </w:p>
        </w:tc>
      </w:tr>
      <w:tr w14:paraId="673B52D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6DFBAD04">
            <w:pPr>
              <w:snapToGrid w:val="0"/>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7.3</w:t>
            </w:r>
          </w:p>
        </w:tc>
        <w:tc>
          <w:tcPr>
            <w:tcW w:w="2767" w:type="dxa"/>
            <w:vAlign w:val="center"/>
          </w:tcPr>
          <w:p w14:paraId="2721813D">
            <w:pPr>
              <w:snapToGrid w:val="0"/>
              <w:spacing w:line="440" w:lineRule="exact"/>
              <w:rPr>
                <w:rFonts w:ascii="宋体" w:hAnsi="宋体" w:cs="宋体"/>
                <w:bCs/>
                <w:color w:val="auto"/>
                <w:szCs w:val="21"/>
                <w:highlight w:val="none"/>
              </w:rPr>
            </w:pPr>
            <w:r>
              <w:rPr>
                <w:rFonts w:hint="eastAsia" w:ascii="宋体" w:hAnsi="宋体" w:cs="宋体"/>
                <w:bCs/>
                <w:color w:val="auto"/>
                <w:szCs w:val="21"/>
                <w:highlight w:val="none"/>
              </w:rPr>
              <w:t>Z轴最大FOV</w:t>
            </w:r>
          </w:p>
        </w:tc>
        <w:tc>
          <w:tcPr>
            <w:tcW w:w="5537" w:type="dxa"/>
            <w:vAlign w:val="center"/>
          </w:tcPr>
          <w:p w14:paraId="27CF2B41">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≥500mm</w:t>
            </w:r>
          </w:p>
        </w:tc>
      </w:tr>
      <w:tr w14:paraId="3D669A3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24A459D9">
            <w:pPr>
              <w:snapToGrid w:val="0"/>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7.4</w:t>
            </w:r>
          </w:p>
        </w:tc>
        <w:tc>
          <w:tcPr>
            <w:tcW w:w="2767" w:type="dxa"/>
            <w:vAlign w:val="center"/>
          </w:tcPr>
          <w:p w14:paraId="4B9604C3">
            <w:pPr>
              <w:snapToGrid w:val="0"/>
              <w:spacing w:line="440" w:lineRule="exact"/>
              <w:rPr>
                <w:rFonts w:ascii="宋体" w:hAnsi="宋体" w:cs="宋体"/>
                <w:bCs/>
                <w:color w:val="auto"/>
                <w:szCs w:val="21"/>
                <w:highlight w:val="none"/>
              </w:rPr>
            </w:pPr>
            <w:r>
              <w:rPr>
                <w:rFonts w:hint="eastAsia" w:ascii="宋体" w:hAnsi="宋体" w:cs="宋体"/>
                <w:bCs/>
                <w:color w:val="auto"/>
                <w:szCs w:val="21"/>
                <w:highlight w:val="none"/>
              </w:rPr>
              <w:t>最小FOV</w:t>
            </w:r>
          </w:p>
        </w:tc>
        <w:tc>
          <w:tcPr>
            <w:tcW w:w="5537" w:type="dxa"/>
            <w:vAlign w:val="center"/>
          </w:tcPr>
          <w:p w14:paraId="7F976422">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≤5mm</w:t>
            </w:r>
          </w:p>
        </w:tc>
      </w:tr>
      <w:tr w14:paraId="1AA346E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6DCCE43A">
            <w:pPr>
              <w:snapToGrid w:val="0"/>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▲7.5</w:t>
            </w:r>
          </w:p>
        </w:tc>
        <w:tc>
          <w:tcPr>
            <w:tcW w:w="2767" w:type="dxa"/>
            <w:vAlign w:val="center"/>
          </w:tcPr>
          <w:p w14:paraId="2DC56C99">
            <w:pPr>
              <w:snapToGrid w:val="0"/>
              <w:spacing w:line="440" w:lineRule="exact"/>
              <w:rPr>
                <w:rFonts w:ascii="宋体" w:hAnsi="宋体" w:cs="宋体"/>
                <w:bCs/>
                <w:color w:val="auto"/>
                <w:szCs w:val="21"/>
                <w:highlight w:val="none"/>
              </w:rPr>
            </w:pPr>
            <w:r>
              <w:rPr>
                <w:rFonts w:hint="eastAsia" w:ascii="宋体" w:hAnsi="宋体" w:cs="宋体"/>
                <w:bCs/>
                <w:color w:val="auto"/>
                <w:szCs w:val="21"/>
                <w:highlight w:val="none"/>
              </w:rPr>
              <w:t>最薄层厚2D</w:t>
            </w:r>
          </w:p>
        </w:tc>
        <w:tc>
          <w:tcPr>
            <w:tcW w:w="5537" w:type="dxa"/>
            <w:vAlign w:val="center"/>
          </w:tcPr>
          <w:p w14:paraId="6C3A669E">
            <w:pPr>
              <w:snapToGrid w:val="0"/>
              <w:spacing w:line="440" w:lineRule="exact"/>
              <w:rPr>
                <w:rFonts w:ascii="宋体" w:hAnsi="宋体" w:cs="宋体"/>
                <w:b/>
                <w:bCs/>
                <w:color w:val="auto"/>
                <w:szCs w:val="21"/>
                <w:highlight w:val="none"/>
              </w:rPr>
            </w:pPr>
            <w:r>
              <w:rPr>
                <w:rFonts w:hint="eastAsia" w:ascii="宋体" w:hAnsi="宋体" w:cs="宋体"/>
                <w:color w:val="auto"/>
                <w:szCs w:val="21"/>
                <w:highlight w:val="none"/>
              </w:rPr>
              <w:t>≤0.1mm</w:t>
            </w:r>
          </w:p>
        </w:tc>
      </w:tr>
      <w:tr w14:paraId="358B539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6C121730">
            <w:pPr>
              <w:snapToGrid w:val="0"/>
              <w:spacing w:line="440" w:lineRule="exact"/>
              <w:jc w:val="center"/>
              <w:rPr>
                <w:rFonts w:ascii="宋体" w:hAnsi="宋体" w:cs="宋体"/>
                <w:bCs/>
                <w:color w:val="auto"/>
                <w:szCs w:val="21"/>
                <w:highlight w:val="none"/>
              </w:rPr>
            </w:pPr>
            <w:r>
              <w:rPr>
                <w:rFonts w:hint="eastAsia" w:ascii="宋体" w:hAnsi="宋体" w:cs="宋体"/>
                <w:b/>
                <w:color w:val="auto"/>
                <w:szCs w:val="21"/>
                <w:highlight w:val="none"/>
              </w:rPr>
              <w:t>7.6</w:t>
            </w:r>
          </w:p>
        </w:tc>
        <w:tc>
          <w:tcPr>
            <w:tcW w:w="2767" w:type="dxa"/>
            <w:vAlign w:val="center"/>
          </w:tcPr>
          <w:p w14:paraId="0F24372F">
            <w:pPr>
              <w:snapToGrid w:val="0"/>
              <w:spacing w:line="440" w:lineRule="exact"/>
              <w:rPr>
                <w:rFonts w:ascii="宋体" w:hAnsi="宋体" w:cs="宋体"/>
                <w:bCs/>
                <w:color w:val="auto"/>
                <w:szCs w:val="21"/>
                <w:highlight w:val="none"/>
              </w:rPr>
            </w:pPr>
            <w:r>
              <w:rPr>
                <w:rFonts w:hint="eastAsia" w:ascii="宋体" w:hAnsi="宋体" w:cs="宋体"/>
                <w:bCs/>
                <w:color w:val="auto"/>
                <w:szCs w:val="21"/>
                <w:highlight w:val="none"/>
              </w:rPr>
              <w:t>最薄层厚3D</w:t>
            </w:r>
          </w:p>
        </w:tc>
        <w:tc>
          <w:tcPr>
            <w:tcW w:w="5537" w:type="dxa"/>
            <w:vAlign w:val="center"/>
          </w:tcPr>
          <w:p w14:paraId="7B84E4CB">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≤0.05mm</w:t>
            </w:r>
          </w:p>
        </w:tc>
      </w:tr>
      <w:tr w14:paraId="5EC4B86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018A8F46">
            <w:pPr>
              <w:snapToGrid w:val="0"/>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7.7</w:t>
            </w:r>
          </w:p>
        </w:tc>
        <w:tc>
          <w:tcPr>
            <w:tcW w:w="2767" w:type="dxa"/>
            <w:vAlign w:val="center"/>
          </w:tcPr>
          <w:p w14:paraId="7BFC94E9">
            <w:pPr>
              <w:snapToGrid w:val="0"/>
              <w:spacing w:line="440" w:lineRule="exact"/>
              <w:rPr>
                <w:rFonts w:ascii="宋体" w:hAnsi="宋体" w:cs="宋体"/>
                <w:bCs/>
                <w:color w:val="auto"/>
                <w:szCs w:val="21"/>
                <w:highlight w:val="none"/>
              </w:rPr>
            </w:pPr>
            <w:r>
              <w:rPr>
                <w:rFonts w:hint="eastAsia" w:ascii="宋体" w:hAnsi="宋体" w:cs="宋体"/>
                <w:bCs/>
                <w:color w:val="auto"/>
                <w:szCs w:val="21"/>
                <w:highlight w:val="none"/>
              </w:rPr>
              <w:t>2D FSE序列最大回波链长度（ETL）</w:t>
            </w:r>
          </w:p>
        </w:tc>
        <w:tc>
          <w:tcPr>
            <w:tcW w:w="5537" w:type="dxa"/>
            <w:vAlign w:val="center"/>
          </w:tcPr>
          <w:p w14:paraId="097A5536">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≥1024</w:t>
            </w:r>
          </w:p>
        </w:tc>
      </w:tr>
      <w:tr w14:paraId="17B6B2F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101402D6">
            <w:pPr>
              <w:snapToGrid w:val="0"/>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7.8</w:t>
            </w:r>
          </w:p>
        </w:tc>
        <w:tc>
          <w:tcPr>
            <w:tcW w:w="2767" w:type="dxa"/>
            <w:vAlign w:val="center"/>
          </w:tcPr>
          <w:p w14:paraId="56480723">
            <w:pPr>
              <w:snapToGrid w:val="0"/>
              <w:spacing w:line="440" w:lineRule="exact"/>
              <w:rPr>
                <w:rFonts w:ascii="宋体" w:hAnsi="宋体" w:cs="宋体"/>
                <w:bCs/>
                <w:color w:val="auto"/>
                <w:szCs w:val="21"/>
                <w:highlight w:val="none"/>
              </w:rPr>
            </w:pPr>
            <w:r>
              <w:rPr>
                <w:rFonts w:hint="eastAsia" w:ascii="宋体" w:hAnsi="宋体" w:cs="宋体"/>
                <w:bCs/>
                <w:color w:val="auto"/>
                <w:szCs w:val="21"/>
                <w:highlight w:val="none"/>
              </w:rPr>
              <w:t>EPI序列最小回波间距（128矩阵）</w:t>
            </w:r>
          </w:p>
        </w:tc>
        <w:tc>
          <w:tcPr>
            <w:tcW w:w="5537" w:type="dxa"/>
            <w:vAlign w:val="center"/>
          </w:tcPr>
          <w:p w14:paraId="20295BB2">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≤0.39ms</w:t>
            </w:r>
          </w:p>
        </w:tc>
      </w:tr>
      <w:tr w14:paraId="2B3444C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155107F3">
            <w:pPr>
              <w:snapToGrid w:val="0"/>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7.9</w:t>
            </w:r>
          </w:p>
        </w:tc>
        <w:tc>
          <w:tcPr>
            <w:tcW w:w="2767" w:type="dxa"/>
            <w:vAlign w:val="center"/>
          </w:tcPr>
          <w:p w14:paraId="700C8B46">
            <w:pPr>
              <w:snapToGrid w:val="0"/>
              <w:spacing w:line="440" w:lineRule="exact"/>
              <w:rPr>
                <w:rFonts w:ascii="宋体" w:hAnsi="宋体" w:cs="宋体"/>
                <w:bCs/>
                <w:color w:val="auto"/>
                <w:szCs w:val="21"/>
                <w:highlight w:val="none"/>
              </w:rPr>
            </w:pPr>
            <w:r>
              <w:rPr>
                <w:rFonts w:hint="eastAsia" w:ascii="宋体" w:hAnsi="宋体" w:cs="宋体"/>
                <w:bCs/>
                <w:color w:val="auto"/>
                <w:szCs w:val="21"/>
                <w:highlight w:val="none"/>
              </w:rPr>
              <w:t>EPI序列最短TR时间（128矩阵）</w:t>
            </w:r>
          </w:p>
        </w:tc>
        <w:tc>
          <w:tcPr>
            <w:tcW w:w="5537" w:type="dxa"/>
            <w:vAlign w:val="center"/>
          </w:tcPr>
          <w:p w14:paraId="67F65902">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≤10ms</w:t>
            </w:r>
          </w:p>
        </w:tc>
      </w:tr>
      <w:tr w14:paraId="786CB80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5A136E4A">
            <w:pPr>
              <w:snapToGrid w:val="0"/>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7.10</w:t>
            </w:r>
          </w:p>
        </w:tc>
        <w:tc>
          <w:tcPr>
            <w:tcW w:w="2767" w:type="dxa"/>
            <w:vAlign w:val="center"/>
          </w:tcPr>
          <w:p w14:paraId="4583CD13">
            <w:pPr>
              <w:snapToGrid w:val="0"/>
              <w:spacing w:line="440" w:lineRule="exact"/>
              <w:rPr>
                <w:rFonts w:ascii="宋体" w:hAnsi="宋体" w:cs="宋体"/>
                <w:bCs/>
                <w:color w:val="auto"/>
                <w:szCs w:val="21"/>
                <w:highlight w:val="none"/>
              </w:rPr>
            </w:pPr>
            <w:r>
              <w:rPr>
                <w:rFonts w:hint="eastAsia" w:ascii="宋体" w:hAnsi="宋体" w:cs="宋体"/>
                <w:bCs/>
                <w:color w:val="auto"/>
                <w:szCs w:val="21"/>
                <w:highlight w:val="none"/>
              </w:rPr>
              <w:t>EPI序列最短TE时间（128矩阵）</w:t>
            </w:r>
          </w:p>
        </w:tc>
        <w:tc>
          <w:tcPr>
            <w:tcW w:w="5537" w:type="dxa"/>
            <w:vAlign w:val="center"/>
          </w:tcPr>
          <w:p w14:paraId="3DF42D0C">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 xml:space="preserve">≤2.2ms </w:t>
            </w:r>
          </w:p>
        </w:tc>
      </w:tr>
      <w:tr w14:paraId="27A1FF5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3EA4F738">
            <w:pPr>
              <w:snapToGrid w:val="0"/>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7.11</w:t>
            </w:r>
          </w:p>
        </w:tc>
        <w:tc>
          <w:tcPr>
            <w:tcW w:w="2767" w:type="dxa"/>
            <w:vAlign w:val="center"/>
          </w:tcPr>
          <w:p w14:paraId="5055B7BC">
            <w:pPr>
              <w:snapToGrid w:val="0"/>
              <w:spacing w:line="440" w:lineRule="exact"/>
              <w:rPr>
                <w:rFonts w:ascii="宋体" w:hAnsi="宋体" w:cs="宋体"/>
                <w:bCs/>
                <w:color w:val="auto"/>
                <w:szCs w:val="21"/>
                <w:highlight w:val="none"/>
              </w:rPr>
            </w:pPr>
            <w:r>
              <w:rPr>
                <w:rFonts w:hint="eastAsia" w:ascii="宋体" w:hAnsi="宋体" w:cs="宋体"/>
                <w:bCs/>
                <w:color w:val="auto"/>
                <w:szCs w:val="21"/>
                <w:highlight w:val="none"/>
              </w:rPr>
              <w:t>最大弥散加权b值</w:t>
            </w:r>
          </w:p>
        </w:tc>
        <w:tc>
          <w:tcPr>
            <w:tcW w:w="5537" w:type="dxa"/>
            <w:vAlign w:val="center"/>
          </w:tcPr>
          <w:p w14:paraId="6DC5D6B8">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≥10000</w:t>
            </w:r>
          </w:p>
        </w:tc>
      </w:tr>
      <w:tr w14:paraId="07FFC54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6D78E62A">
            <w:pPr>
              <w:pStyle w:val="37"/>
              <w:numPr>
                <w:ilvl w:val="0"/>
                <w:numId w:val="4"/>
              </w:numPr>
              <w:snapToGrid w:val="0"/>
              <w:spacing w:line="440" w:lineRule="exact"/>
              <w:ind w:firstLineChars="0"/>
              <w:jc w:val="center"/>
              <w:rPr>
                <w:rFonts w:ascii="宋体" w:hAnsi="宋体" w:cs="宋体"/>
                <w:b/>
                <w:bCs/>
                <w:color w:val="auto"/>
                <w:szCs w:val="21"/>
                <w:highlight w:val="none"/>
              </w:rPr>
            </w:pPr>
          </w:p>
        </w:tc>
        <w:tc>
          <w:tcPr>
            <w:tcW w:w="2767" w:type="dxa"/>
            <w:vAlign w:val="center"/>
          </w:tcPr>
          <w:p w14:paraId="16A6D4AC">
            <w:pPr>
              <w:snapToGrid w:val="0"/>
              <w:spacing w:line="440" w:lineRule="exact"/>
              <w:rPr>
                <w:rFonts w:ascii="宋体" w:hAnsi="宋体" w:cs="宋体"/>
                <w:b/>
                <w:color w:val="auto"/>
                <w:szCs w:val="21"/>
                <w:highlight w:val="none"/>
              </w:rPr>
            </w:pPr>
            <w:r>
              <w:rPr>
                <w:rFonts w:hint="eastAsia" w:ascii="宋体" w:hAnsi="宋体" w:cs="宋体"/>
                <w:b/>
                <w:color w:val="auto"/>
                <w:szCs w:val="21"/>
                <w:highlight w:val="none"/>
              </w:rPr>
              <w:t>高级临床应用软件包，包括</w:t>
            </w:r>
          </w:p>
        </w:tc>
        <w:tc>
          <w:tcPr>
            <w:tcW w:w="5537" w:type="dxa"/>
            <w:vAlign w:val="center"/>
          </w:tcPr>
          <w:p w14:paraId="5E512B84">
            <w:pPr>
              <w:snapToGrid w:val="0"/>
              <w:spacing w:line="440" w:lineRule="exact"/>
              <w:rPr>
                <w:rFonts w:ascii="宋体" w:hAnsi="宋体" w:cs="宋体"/>
                <w:b/>
                <w:bCs/>
                <w:color w:val="auto"/>
                <w:szCs w:val="21"/>
                <w:highlight w:val="none"/>
              </w:rPr>
            </w:pPr>
          </w:p>
        </w:tc>
      </w:tr>
      <w:tr w14:paraId="40ED57E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4900F829">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8.1</w:t>
            </w:r>
          </w:p>
        </w:tc>
        <w:tc>
          <w:tcPr>
            <w:tcW w:w="2767" w:type="dxa"/>
            <w:vAlign w:val="center"/>
          </w:tcPr>
          <w:p w14:paraId="0B05501F">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神经成像软件包</w:t>
            </w:r>
          </w:p>
        </w:tc>
        <w:tc>
          <w:tcPr>
            <w:tcW w:w="5537" w:type="dxa"/>
            <w:vAlign w:val="center"/>
          </w:tcPr>
          <w:p w14:paraId="6BA7DD33">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152A71D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4CE0100F">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8.2</w:t>
            </w:r>
          </w:p>
        </w:tc>
        <w:tc>
          <w:tcPr>
            <w:tcW w:w="2767" w:type="dxa"/>
            <w:vAlign w:val="center"/>
          </w:tcPr>
          <w:p w14:paraId="79566190">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体部系统软件包</w:t>
            </w:r>
          </w:p>
        </w:tc>
        <w:tc>
          <w:tcPr>
            <w:tcW w:w="5537" w:type="dxa"/>
            <w:vAlign w:val="center"/>
          </w:tcPr>
          <w:p w14:paraId="7602F15E">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4D2CE36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71A527AE">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8.3</w:t>
            </w:r>
          </w:p>
        </w:tc>
        <w:tc>
          <w:tcPr>
            <w:tcW w:w="2767" w:type="dxa"/>
            <w:vAlign w:val="center"/>
          </w:tcPr>
          <w:p w14:paraId="47B8D805">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骨关节成像软件包</w:t>
            </w:r>
          </w:p>
        </w:tc>
        <w:tc>
          <w:tcPr>
            <w:tcW w:w="5537" w:type="dxa"/>
            <w:vAlign w:val="center"/>
          </w:tcPr>
          <w:p w14:paraId="33B3893C">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196ADB4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3015093A">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8.4</w:t>
            </w:r>
          </w:p>
        </w:tc>
        <w:tc>
          <w:tcPr>
            <w:tcW w:w="2767" w:type="dxa"/>
            <w:vAlign w:val="center"/>
          </w:tcPr>
          <w:p w14:paraId="4C7E58C4">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肿瘤成像软件包</w:t>
            </w:r>
          </w:p>
        </w:tc>
        <w:tc>
          <w:tcPr>
            <w:tcW w:w="5537" w:type="dxa"/>
            <w:vAlign w:val="center"/>
          </w:tcPr>
          <w:p w14:paraId="1A659FCE">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2209C6D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358664D5">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8.5</w:t>
            </w:r>
          </w:p>
        </w:tc>
        <w:tc>
          <w:tcPr>
            <w:tcW w:w="2767" w:type="dxa"/>
            <w:vAlign w:val="center"/>
          </w:tcPr>
          <w:p w14:paraId="4456D133">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血管成像软件包</w:t>
            </w:r>
          </w:p>
        </w:tc>
        <w:tc>
          <w:tcPr>
            <w:tcW w:w="5537" w:type="dxa"/>
            <w:vAlign w:val="center"/>
          </w:tcPr>
          <w:p w14:paraId="76ED9C43">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35FDF07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7C500723">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8.6</w:t>
            </w:r>
          </w:p>
        </w:tc>
        <w:tc>
          <w:tcPr>
            <w:tcW w:w="2767" w:type="dxa"/>
            <w:vAlign w:val="center"/>
          </w:tcPr>
          <w:p w14:paraId="09538633">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妇产成像软件包</w:t>
            </w:r>
          </w:p>
        </w:tc>
        <w:tc>
          <w:tcPr>
            <w:tcW w:w="5537" w:type="dxa"/>
            <w:vAlign w:val="center"/>
          </w:tcPr>
          <w:p w14:paraId="6A4CC2EA">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73619BE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7B992318">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8.7</w:t>
            </w:r>
          </w:p>
        </w:tc>
        <w:tc>
          <w:tcPr>
            <w:tcW w:w="2767" w:type="dxa"/>
            <w:vAlign w:val="center"/>
          </w:tcPr>
          <w:p w14:paraId="205B03BC">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儿科成像软件包</w:t>
            </w:r>
          </w:p>
        </w:tc>
        <w:tc>
          <w:tcPr>
            <w:tcW w:w="5537" w:type="dxa"/>
            <w:vAlign w:val="center"/>
          </w:tcPr>
          <w:p w14:paraId="690F5196">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5A3EEFB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60D42BD6">
            <w:pPr>
              <w:snapToGrid w:val="0"/>
              <w:spacing w:line="440" w:lineRule="exact"/>
              <w:jc w:val="center"/>
              <w:rPr>
                <w:rFonts w:ascii="宋体" w:hAnsi="宋体" w:cs="宋体"/>
                <w:b/>
                <w:color w:val="auto"/>
                <w:szCs w:val="21"/>
                <w:highlight w:val="none"/>
              </w:rPr>
            </w:pPr>
            <w:r>
              <w:rPr>
                <w:rFonts w:hint="eastAsia" w:ascii="宋体" w:hAnsi="宋体" w:cs="宋体"/>
                <w:b/>
                <w:color w:val="auto"/>
                <w:szCs w:val="21"/>
                <w:highlight w:val="none"/>
              </w:rPr>
              <w:t>九</w:t>
            </w:r>
          </w:p>
        </w:tc>
        <w:tc>
          <w:tcPr>
            <w:tcW w:w="2767" w:type="dxa"/>
            <w:vAlign w:val="center"/>
          </w:tcPr>
          <w:p w14:paraId="1B5D0CFD">
            <w:pPr>
              <w:snapToGrid w:val="0"/>
              <w:spacing w:line="440" w:lineRule="exact"/>
              <w:rPr>
                <w:rFonts w:ascii="宋体" w:hAnsi="宋体" w:cs="宋体"/>
                <w:b/>
                <w:color w:val="auto"/>
                <w:szCs w:val="21"/>
                <w:highlight w:val="none"/>
              </w:rPr>
            </w:pPr>
            <w:r>
              <w:rPr>
                <w:rFonts w:hint="eastAsia" w:ascii="宋体" w:hAnsi="宋体" w:cs="宋体"/>
                <w:b/>
                <w:color w:val="auto"/>
                <w:szCs w:val="21"/>
                <w:highlight w:val="none"/>
              </w:rPr>
              <w:t>高级应用平台及软件</w:t>
            </w:r>
          </w:p>
        </w:tc>
        <w:tc>
          <w:tcPr>
            <w:tcW w:w="5537" w:type="dxa"/>
            <w:vAlign w:val="center"/>
          </w:tcPr>
          <w:p w14:paraId="3315ED68">
            <w:pPr>
              <w:snapToGrid w:val="0"/>
              <w:spacing w:line="440" w:lineRule="exact"/>
              <w:rPr>
                <w:rFonts w:ascii="宋体" w:hAnsi="宋体" w:cs="宋体"/>
                <w:b/>
                <w:color w:val="auto"/>
                <w:szCs w:val="21"/>
                <w:highlight w:val="none"/>
              </w:rPr>
            </w:pPr>
          </w:p>
        </w:tc>
      </w:tr>
      <w:tr w14:paraId="62CD39F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2B76062B">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9.1</w:t>
            </w:r>
          </w:p>
        </w:tc>
        <w:tc>
          <w:tcPr>
            <w:tcW w:w="2767" w:type="dxa"/>
            <w:vAlign w:val="center"/>
          </w:tcPr>
          <w:p w14:paraId="5BB7FD25">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压缩感知技术或</w:t>
            </w:r>
          </w:p>
          <w:p w14:paraId="5A3DC945">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以压缩感知为核心的技术</w:t>
            </w:r>
          </w:p>
        </w:tc>
        <w:tc>
          <w:tcPr>
            <w:tcW w:w="5537" w:type="dxa"/>
            <w:vAlign w:val="center"/>
          </w:tcPr>
          <w:p w14:paraId="37EBC2B4">
            <w:pPr>
              <w:snapToGrid w:val="0"/>
              <w:spacing w:line="440" w:lineRule="exact"/>
              <w:jc w:val="left"/>
              <w:rPr>
                <w:rFonts w:ascii="宋体" w:hAnsi="宋体" w:cs="宋体"/>
                <w:color w:val="auto"/>
                <w:szCs w:val="21"/>
                <w:highlight w:val="none"/>
              </w:rPr>
            </w:pPr>
            <w:r>
              <w:rPr>
                <w:rFonts w:hint="eastAsia" w:ascii="宋体" w:hAnsi="宋体" w:cs="宋体"/>
                <w:color w:val="auto"/>
                <w:szCs w:val="21"/>
                <w:highlight w:val="none"/>
              </w:rPr>
              <w:t>具备压缩感知技术，不可用其他技术如并行采集技术替代</w:t>
            </w:r>
          </w:p>
        </w:tc>
      </w:tr>
      <w:tr w14:paraId="33F7A85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04159D27">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9.2</w:t>
            </w:r>
          </w:p>
        </w:tc>
        <w:tc>
          <w:tcPr>
            <w:tcW w:w="2767" w:type="dxa"/>
            <w:vAlign w:val="center"/>
          </w:tcPr>
          <w:p w14:paraId="5D6DD558">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磁敏感加权成像</w:t>
            </w:r>
          </w:p>
        </w:tc>
        <w:tc>
          <w:tcPr>
            <w:tcW w:w="5537" w:type="dxa"/>
            <w:vAlign w:val="center"/>
          </w:tcPr>
          <w:p w14:paraId="6C90D939">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342A3FF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6589712E">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9.3</w:t>
            </w:r>
          </w:p>
        </w:tc>
        <w:tc>
          <w:tcPr>
            <w:tcW w:w="2767" w:type="dxa"/>
            <w:vAlign w:val="center"/>
          </w:tcPr>
          <w:p w14:paraId="55EF8335">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磁敏感成像相位图</w:t>
            </w:r>
          </w:p>
        </w:tc>
        <w:tc>
          <w:tcPr>
            <w:tcW w:w="5537" w:type="dxa"/>
            <w:vAlign w:val="center"/>
          </w:tcPr>
          <w:p w14:paraId="60855F17">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40696B0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03ADE10D">
            <w:pPr>
              <w:snapToGrid w:val="0"/>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9.4</w:t>
            </w:r>
          </w:p>
        </w:tc>
        <w:tc>
          <w:tcPr>
            <w:tcW w:w="2767" w:type="dxa"/>
            <w:vAlign w:val="center"/>
          </w:tcPr>
          <w:p w14:paraId="62767AD6">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波谱成像技术(MRS)</w:t>
            </w:r>
          </w:p>
        </w:tc>
        <w:tc>
          <w:tcPr>
            <w:tcW w:w="5537" w:type="dxa"/>
            <w:vAlign w:val="center"/>
          </w:tcPr>
          <w:p w14:paraId="70B1AA02">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具备，包括单体素和多体素波谱</w:t>
            </w:r>
          </w:p>
        </w:tc>
      </w:tr>
      <w:tr w14:paraId="736A47F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09137091">
            <w:pPr>
              <w:snapToGrid w:val="0"/>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9.5</w:t>
            </w:r>
          </w:p>
        </w:tc>
        <w:tc>
          <w:tcPr>
            <w:tcW w:w="2767" w:type="dxa"/>
            <w:vAlign w:val="center"/>
          </w:tcPr>
          <w:p w14:paraId="1794166C">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弥散张量成像(DTI) 方向数≥256个</w:t>
            </w:r>
          </w:p>
        </w:tc>
        <w:tc>
          <w:tcPr>
            <w:tcW w:w="5537" w:type="dxa"/>
            <w:vAlign w:val="center"/>
          </w:tcPr>
          <w:p w14:paraId="4502009B">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5292DF2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7029D258">
            <w:pPr>
              <w:snapToGrid w:val="0"/>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9.6</w:t>
            </w:r>
          </w:p>
        </w:tc>
        <w:tc>
          <w:tcPr>
            <w:tcW w:w="2767" w:type="dxa"/>
            <w:vAlign w:val="center"/>
          </w:tcPr>
          <w:p w14:paraId="3BBFFFF1">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脑灌注成像（Perfusion）</w:t>
            </w:r>
          </w:p>
        </w:tc>
        <w:tc>
          <w:tcPr>
            <w:tcW w:w="5537" w:type="dxa"/>
            <w:vAlign w:val="center"/>
          </w:tcPr>
          <w:p w14:paraId="3934E6D1">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2A7CF67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04375EF1">
            <w:pPr>
              <w:snapToGrid w:val="0"/>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9.7</w:t>
            </w:r>
          </w:p>
        </w:tc>
        <w:tc>
          <w:tcPr>
            <w:tcW w:w="2767" w:type="dxa"/>
            <w:vAlign w:val="center"/>
          </w:tcPr>
          <w:p w14:paraId="46997F88">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脑功能成像（Bold）</w:t>
            </w:r>
          </w:p>
        </w:tc>
        <w:tc>
          <w:tcPr>
            <w:tcW w:w="5537" w:type="dxa"/>
            <w:vAlign w:val="center"/>
          </w:tcPr>
          <w:p w14:paraId="7CC4A9C7">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6340ACA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2ED6A45C">
            <w:pPr>
              <w:snapToGrid w:val="0"/>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9.8</w:t>
            </w:r>
          </w:p>
        </w:tc>
        <w:tc>
          <w:tcPr>
            <w:tcW w:w="2767" w:type="dxa"/>
            <w:vAlign w:val="center"/>
          </w:tcPr>
          <w:p w14:paraId="0CC4133B">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脂肪定量技术</w:t>
            </w:r>
          </w:p>
        </w:tc>
        <w:tc>
          <w:tcPr>
            <w:tcW w:w="5537" w:type="dxa"/>
            <w:vAlign w:val="center"/>
          </w:tcPr>
          <w:p w14:paraId="4C749797">
            <w:pPr>
              <w:snapToGrid w:val="0"/>
              <w:spacing w:line="440" w:lineRule="exact"/>
              <w:jc w:val="left"/>
              <w:rPr>
                <w:rFonts w:ascii="宋体" w:hAnsi="宋体" w:cs="宋体"/>
                <w:color w:val="auto"/>
                <w:szCs w:val="21"/>
                <w:highlight w:val="none"/>
              </w:rPr>
            </w:pPr>
            <w:r>
              <w:rPr>
                <w:rFonts w:hint="eastAsia" w:ascii="宋体" w:hAnsi="宋体" w:cs="宋体"/>
                <w:color w:val="auto"/>
                <w:szCs w:val="21"/>
                <w:highlight w:val="none"/>
              </w:rPr>
              <w:t>具备</w:t>
            </w:r>
          </w:p>
        </w:tc>
      </w:tr>
      <w:tr w14:paraId="6AF2AD4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23C447E9">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9.9</w:t>
            </w:r>
          </w:p>
        </w:tc>
        <w:tc>
          <w:tcPr>
            <w:tcW w:w="2767" w:type="dxa"/>
            <w:vAlign w:val="center"/>
          </w:tcPr>
          <w:p w14:paraId="21D493D0">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弥散成像技术</w:t>
            </w:r>
          </w:p>
        </w:tc>
        <w:tc>
          <w:tcPr>
            <w:tcW w:w="5537" w:type="dxa"/>
            <w:vAlign w:val="center"/>
          </w:tcPr>
          <w:p w14:paraId="5639BC04">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116BF6A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59DBE63B">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9.10</w:t>
            </w:r>
          </w:p>
        </w:tc>
        <w:tc>
          <w:tcPr>
            <w:tcW w:w="2767" w:type="dxa"/>
            <w:vAlign w:val="center"/>
          </w:tcPr>
          <w:p w14:paraId="458E9F88">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小视野弥散成像技术</w:t>
            </w:r>
          </w:p>
        </w:tc>
        <w:tc>
          <w:tcPr>
            <w:tcW w:w="5537" w:type="dxa"/>
            <w:vAlign w:val="center"/>
          </w:tcPr>
          <w:p w14:paraId="49AB1C23">
            <w:pPr>
              <w:snapToGrid w:val="0"/>
              <w:spacing w:line="440" w:lineRule="exact"/>
              <w:jc w:val="left"/>
              <w:rPr>
                <w:rFonts w:ascii="宋体" w:hAnsi="宋体" w:cs="宋体"/>
                <w:color w:val="auto"/>
                <w:szCs w:val="21"/>
                <w:highlight w:val="none"/>
              </w:rPr>
            </w:pPr>
            <w:r>
              <w:rPr>
                <w:rFonts w:hint="eastAsia" w:ascii="宋体" w:hAnsi="宋体" w:cs="宋体"/>
                <w:color w:val="auto"/>
                <w:szCs w:val="21"/>
                <w:highlight w:val="none"/>
              </w:rPr>
              <w:t>具备</w:t>
            </w:r>
          </w:p>
        </w:tc>
      </w:tr>
      <w:tr w14:paraId="6E35FAA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117E5ED8">
            <w:pPr>
              <w:snapToGrid w:val="0"/>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9.11</w:t>
            </w:r>
          </w:p>
        </w:tc>
        <w:tc>
          <w:tcPr>
            <w:tcW w:w="2767" w:type="dxa"/>
            <w:vAlign w:val="center"/>
          </w:tcPr>
          <w:p w14:paraId="6F2F4D2E">
            <w:pPr>
              <w:snapToGrid w:val="0"/>
              <w:spacing w:line="440" w:lineRule="exact"/>
              <w:jc w:val="left"/>
              <w:rPr>
                <w:rFonts w:ascii="宋体" w:hAnsi="宋体" w:cs="宋体"/>
                <w:bCs/>
                <w:color w:val="auto"/>
                <w:szCs w:val="21"/>
                <w:highlight w:val="none"/>
              </w:rPr>
            </w:pPr>
            <w:r>
              <w:rPr>
                <w:rFonts w:hint="eastAsia" w:ascii="宋体" w:hAnsi="宋体" w:cs="宋体"/>
                <w:bCs/>
                <w:color w:val="auto"/>
                <w:szCs w:val="21"/>
                <w:highlight w:val="none"/>
              </w:rPr>
              <w:t>流动定量成像技术</w:t>
            </w:r>
          </w:p>
        </w:tc>
        <w:tc>
          <w:tcPr>
            <w:tcW w:w="5537" w:type="dxa"/>
            <w:vAlign w:val="center"/>
          </w:tcPr>
          <w:p w14:paraId="543879EC">
            <w:pPr>
              <w:snapToGrid w:val="0"/>
              <w:spacing w:line="440" w:lineRule="exact"/>
              <w:jc w:val="left"/>
              <w:rPr>
                <w:rFonts w:ascii="宋体" w:hAnsi="宋体" w:cs="宋体"/>
                <w:bCs/>
                <w:color w:val="auto"/>
                <w:szCs w:val="21"/>
                <w:highlight w:val="none"/>
              </w:rPr>
            </w:pPr>
            <w:r>
              <w:rPr>
                <w:rFonts w:hint="eastAsia" w:ascii="宋体" w:hAnsi="宋体" w:cs="宋体"/>
                <w:bCs/>
                <w:color w:val="auto"/>
                <w:szCs w:val="21"/>
                <w:highlight w:val="none"/>
              </w:rPr>
              <w:t>具备</w:t>
            </w:r>
          </w:p>
        </w:tc>
      </w:tr>
      <w:tr w14:paraId="3D15084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4E77EA8A">
            <w:pPr>
              <w:snapToGrid w:val="0"/>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9.12</w:t>
            </w:r>
          </w:p>
        </w:tc>
        <w:tc>
          <w:tcPr>
            <w:tcW w:w="2767" w:type="dxa"/>
            <w:vAlign w:val="center"/>
          </w:tcPr>
          <w:p w14:paraId="0B61F328">
            <w:pPr>
              <w:snapToGrid w:val="0"/>
              <w:spacing w:line="440" w:lineRule="exact"/>
              <w:jc w:val="left"/>
              <w:rPr>
                <w:rFonts w:ascii="宋体" w:hAnsi="宋体" w:cs="宋体"/>
                <w:bCs/>
                <w:color w:val="auto"/>
                <w:szCs w:val="21"/>
                <w:highlight w:val="none"/>
              </w:rPr>
            </w:pPr>
            <w:r>
              <w:rPr>
                <w:rFonts w:hint="eastAsia" w:ascii="宋体" w:hAnsi="宋体" w:cs="宋体"/>
                <w:bCs/>
                <w:color w:val="auto"/>
                <w:szCs w:val="21"/>
                <w:highlight w:val="none"/>
              </w:rPr>
              <w:t>参数定量技术</w:t>
            </w:r>
          </w:p>
        </w:tc>
        <w:tc>
          <w:tcPr>
            <w:tcW w:w="5537" w:type="dxa"/>
            <w:vAlign w:val="center"/>
          </w:tcPr>
          <w:p w14:paraId="653FA71F">
            <w:pPr>
              <w:snapToGrid w:val="0"/>
              <w:spacing w:line="440" w:lineRule="exact"/>
              <w:jc w:val="left"/>
              <w:rPr>
                <w:rFonts w:ascii="宋体" w:hAnsi="宋体" w:cs="宋体"/>
                <w:bCs/>
                <w:color w:val="auto"/>
                <w:szCs w:val="21"/>
                <w:highlight w:val="none"/>
              </w:rPr>
            </w:pPr>
            <w:r>
              <w:rPr>
                <w:rFonts w:hint="eastAsia" w:ascii="宋体" w:hAnsi="宋体" w:cs="宋体"/>
                <w:bCs/>
                <w:color w:val="auto"/>
                <w:szCs w:val="21"/>
                <w:highlight w:val="none"/>
              </w:rPr>
              <w:t>具备</w:t>
            </w:r>
          </w:p>
        </w:tc>
      </w:tr>
      <w:tr w14:paraId="1241224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74F6AA7E">
            <w:pPr>
              <w:snapToGrid w:val="0"/>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9.13</w:t>
            </w:r>
          </w:p>
        </w:tc>
        <w:tc>
          <w:tcPr>
            <w:tcW w:w="2767" w:type="dxa"/>
            <w:vAlign w:val="center"/>
          </w:tcPr>
          <w:p w14:paraId="035C2CC2">
            <w:pPr>
              <w:snapToGrid w:val="0"/>
              <w:spacing w:line="440" w:lineRule="exact"/>
              <w:jc w:val="left"/>
              <w:rPr>
                <w:rFonts w:ascii="宋体" w:hAnsi="宋体" w:cs="宋体"/>
                <w:bCs/>
                <w:color w:val="auto"/>
                <w:szCs w:val="21"/>
                <w:highlight w:val="none"/>
              </w:rPr>
            </w:pPr>
            <w:r>
              <w:rPr>
                <w:rFonts w:hint="eastAsia" w:ascii="宋体" w:hAnsi="宋体" w:cs="宋体"/>
                <w:bCs/>
                <w:color w:val="auto"/>
                <w:szCs w:val="21"/>
                <w:highlight w:val="none"/>
              </w:rPr>
              <w:t>三维动脉自旋标记成像技术</w:t>
            </w:r>
          </w:p>
        </w:tc>
        <w:tc>
          <w:tcPr>
            <w:tcW w:w="5537" w:type="dxa"/>
            <w:vAlign w:val="center"/>
          </w:tcPr>
          <w:p w14:paraId="0DED36AB">
            <w:pPr>
              <w:snapToGrid w:val="0"/>
              <w:spacing w:line="440" w:lineRule="exact"/>
              <w:jc w:val="left"/>
              <w:rPr>
                <w:rFonts w:ascii="宋体" w:hAnsi="宋体" w:cs="宋体"/>
                <w:bCs/>
                <w:color w:val="auto"/>
                <w:szCs w:val="21"/>
                <w:highlight w:val="none"/>
              </w:rPr>
            </w:pPr>
            <w:r>
              <w:rPr>
                <w:rFonts w:hint="eastAsia" w:ascii="宋体" w:hAnsi="宋体" w:cs="宋体"/>
                <w:bCs/>
                <w:color w:val="auto"/>
                <w:szCs w:val="21"/>
                <w:highlight w:val="none"/>
              </w:rPr>
              <w:t>具备</w:t>
            </w:r>
          </w:p>
        </w:tc>
      </w:tr>
      <w:tr w14:paraId="0CB73EF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shd w:val="clear" w:color="auto" w:fill="auto"/>
            <w:vAlign w:val="center"/>
          </w:tcPr>
          <w:p w14:paraId="0C324C8A">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9.14</w:t>
            </w:r>
          </w:p>
        </w:tc>
        <w:tc>
          <w:tcPr>
            <w:tcW w:w="2767" w:type="dxa"/>
            <w:shd w:val="clear" w:color="auto" w:fill="auto"/>
            <w:vAlign w:val="center"/>
          </w:tcPr>
          <w:p w14:paraId="6C07A9EB">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智能扫描技术</w:t>
            </w:r>
          </w:p>
        </w:tc>
        <w:tc>
          <w:tcPr>
            <w:tcW w:w="5537" w:type="dxa"/>
            <w:shd w:val="clear" w:color="auto" w:fill="auto"/>
            <w:vAlign w:val="center"/>
          </w:tcPr>
          <w:p w14:paraId="525C23BF">
            <w:pPr>
              <w:snapToGrid w:val="0"/>
              <w:spacing w:line="440" w:lineRule="exact"/>
              <w:jc w:val="left"/>
              <w:rPr>
                <w:rFonts w:ascii="宋体" w:hAnsi="宋体" w:cs="宋体"/>
                <w:color w:val="auto"/>
                <w:szCs w:val="21"/>
                <w:highlight w:val="none"/>
              </w:rPr>
            </w:pPr>
            <w:r>
              <w:rPr>
                <w:rFonts w:hint="eastAsia" w:ascii="宋体" w:hAnsi="宋体" w:cs="宋体"/>
                <w:color w:val="auto"/>
                <w:szCs w:val="21"/>
                <w:highlight w:val="none"/>
              </w:rPr>
              <w:t>具备</w:t>
            </w:r>
          </w:p>
        </w:tc>
      </w:tr>
      <w:tr w14:paraId="1B7C637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6636F20F">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9.14.1</w:t>
            </w:r>
          </w:p>
        </w:tc>
        <w:tc>
          <w:tcPr>
            <w:tcW w:w="2767" w:type="dxa"/>
            <w:vAlign w:val="center"/>
          </w:tcPr>
          <w:p w14:paraId="5D5D85FA">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头部智能扫描，一键进床</w:t>
            </w:r>
          </w:p>
        </w:tc>
        <w:tc>
          <w:tcPr>
            <w:tcW w:w="5537" w:type="dxa"/>
            <w:vAlign w:val="center"/>
          </w:tcPr>
          <w:p w14:paraId="295CE8FA">
            <w:pPr>
              <w:snapToGrid w:val="0"/>
              <w:spacing w:line="440" w:lineRule="exact"/>
              <w:jc w:val="left"/>
              <w:rPr>
                <w:rFonts w:ascii="宋体" w:hAnsi="宋体" w:cs="宋体"/>
                <w:color w:val="auto"/>
                <w:szCs w:val="21"/>
                <w:highlight w:val="none"/>
              </w:rPr>
            </w:pPr>
            <w:r>
              <w:rPr>
                <w:rFonts w:hint="eastAsia" w:ascii="宋体" w:hAnsi="宋体" w:cs="宋体"/>
                <w:color w:val="auto"/>
                <w:szCs w:val="21"/>
                <w:highlight w:val="none"/>
              </w:rPr>
              <w:t>具备</w:t>
            </w:r>
          </w:p>
        </w:tc>
      </w:tr>
      <w:tr w14:paraId="783C18F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7EB742C8">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9.14.2</w:t>
            </w:r>
          </w:p>
        </w:tc>
        <w:tc>
          <w:tcPr>
            <w:tcW w:w="2767" w:type="dxa"/>
            <w:vAlign w:val="center"/>
          </w:tcPr>
          <w:p w14:paraId="2FB2C930">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脊柱智能扫描</w:t>
            </w:r>
          </w:p>
        </w:tc>
        <w:tc>
          <w:tcPr>
            <w:tcW w:w="5537" w:type="dxa"/>
            <w:vAlign w:val="center"/>
          </w:tcPr>
          <w:p w14:paraId="2C2ECAA0">
            <w:pPr>
              <w:snapToGrid w:val="0"/>
              <w:spacing w:line="440" w:lineRule="exact"/>
              <w:jc w:val="left"/>
              <w:rPr>
                <w:rFonts w:ascii="宋体" w:hAnsi="宋体" w:cs="宋体"/>
                <w:color w:val="auto"/>
                <w:szCs w:val="21"/>
                <w:highlight w:val="none"/>
              </w:rPr>
            </w:pPr>
            <w:r>
              <w:rPr>
                <w:rFonts w:hint="eastAsia" w:ascii="宋体" w:hAnsi="宋体" w:cs="宋体"/>
                <w:color w:val="auto"/>
                <w:szCs w:val="21"/>
                <w:highlight w:val="none"/>
              </w:rPr>
              <w:t>具备</w:t>
            </w:r>
          </w:p>
        </w:tc>
      </w:tr>
      <w:tr w14:paraId="400F7B6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543B84E0">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9.14.3</w:t>
            </w:r>
          </w:p>
        </w:tc>
        <w:tc>
          <w:tcPr>
            <w:tcW w:w="2767" w:type="dxa"/>
            <w:vAlign w:val="center"/>
          </w:tcPr>
          <w:p w14:paraId="2424DF7B">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膝关节智能扫描</w:t>
            </w:r>
          </w:p>
        </w:tc>
        <w:tc>
          <w:tcPr>
            <w:tcW w:w="5537" w:type="dxa"/>
            <w:vAlign w:val="center"/>
          </w:tcPr>
          <w:p w14:paraId="2F36B492">
            <w:pPr>
              <w:snapToGrid w:val="0"/>
              <w:spacing w:line="440" w:lineRule="exact"/>
              <w:jc w:val="left"/>
              <w:rPr>
                <w:rFonts w:ascii="宋体" w:hAnsi="宋体" w:cs="宋体"/>
                <w:color w:val="auto"/>
                <w:szCs w:val="21"/>
                <w:highlight w:val="none"/>
              </w:rPr>
            </w:pPr>
            <w:r>
              <w:rPr>
                <w:rFonts w:hint="eastAsia" w:ascii="宋体" w:hAnsi="宋体" w:cs="宋体"/>
                <w:color w:val="auto"/>
                <w:szCs w:val="21"/>
                <w:highlight w:val="none"/>
              </w:rPr>
              <w:t>具备</w:t>
            </w:r>
          </w:p>
        </w:tc>
      </w:tr>
      <w:tr w14:paraId="1C7F77F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25FDF169">
            <w:pPr>
              <w:snapToGrid w:val="0"/>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▲9.15</w:t>
            </w:r>
          </w:p>
        </w:tc>
        <w:tc>
          <w:tcPr>
            <w:tcW w:w="2767" w:type="dxa"/>
            <w:vAlign w:val="center"/>
          </w:tcPr>
          <w:p w14:paraId="5C935F46">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独立原厂高级影像后处理工作站（相应功能由主机实现，后处理软件包配置在工作站上）</w:t>
            </w:r>
          </w:p>
        </w:tc>
        <w:tc>
          <w:tcPr>
            <w:tcW w:w="5537" w:type="dxa"/>
            <w:vAlign w:val="center"/>
          </w:tcPr>
          <w:p w14:paraId="05D95B35">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提供原厂最新最高版本后处理工作站，不得采用第三方工作站产品。</w:t>
            </w:r>
          </w:p>
        </w:tc>
      </w:tr>
      <w:tr w14:paraId="46EB84D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7213CF9B">
            <w:pPr>
              <w:snapToGrid w:val="0"/>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9.15.1</w:t>
            </w:r>
          </w:p>
        </w:tc>
        <w:tc>
          <w:tcPr>
            <w:tcW w:w="2767" w:type="dxa"/>
            <w:vAlign w:val="center"/>
          </w:tcPr>
          <w:p w14:paraId="7FE80359">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BOLD后处理</w:t>
            </w:r>
          </w:p>
        </w:tc>
        <w:tc>
          <w:tcPr>
            <w:tcW w:w="5537" w:type="dxa"/>
            <w:vAlign w:val="center"/>
          </w:tcPr>
          <w:p w14:paraId="6A1315BD">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39266CC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33ABAECE">
            <w:pPr>
              <w:snapToGrid w:val="0"/>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9.15.2</w:t>
            </w:r>
          </w:p>
        </w:tc>
        <w:tc>
          <w:tcPr>
            <w:tcW w:w="2767" w:type="dxa"/>
            <w:vAlign w:val="center"/>
          </w:tcPr>
          <w:p w14:paraId="181DAFD3">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波谱后处理，包含单体素及多体素</w:t>
            </w:r>
          </w:p>
        </w:tc>
        <w:tc>
          <w:tcPr>
            <w:tcW w:w="5537" w:type="dxa"/>
            <w:vAlign w:val="center"/>
          </w:tcPr>
          <w:p w14:paraId="256D7188">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5E2326C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145FA67E">
            <w:pPr>
              <w:snapToGrid w:val="0"/>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9.15.3</w:t>
            </w:r>
          </w:p>
        </w:tc>
        <w:tc>
          <w:tcPr>
            <w:tcW w:w="2767" w:type="dxa"/>
            <w:vAlign w:val="center"/>
          </w:tcPr>
          <w:p w14:paraId="2C9868DA">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脑灌注后处理</w:t>
            </w:r>
          </w:p>
        </w:tc>
        <w:tc>
          <w:tcPr>
            <w:tcW w:w="5537" w:type="dxa"/>
            <w:vAlign w:val="center"/>
          </w:tcPr>
          <w:p w14:paraId="3A32DFD6">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12D103E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77E9186A">
            <w:pPr>
              <w:snapToGrid w:val="0"/>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9.15.4</w:t>
            </w:r>
          </w:p>
        </w:tc>
        <w:tc>
          <w:tcPr>
            <w:tcW w:w="2767" w:type="dxa"/>
            <w:vAlign w:val="center"/>
          </w:tcPr>
          <w:p w14:paraId="07FF8B97">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弥散张量成像高级后处理及纤维束追踪技术后处理</w:t>
            </w:r>
          </w:p>
        </w:tc>
        <w:tc>
          <w:tcPr>
            <w:tcW w:w="5537" w:type="dxa"/>
            <w:vAlign w:val="center"/>
          </w:tcPr>
          <w:p w14:paraId="609252A3">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14B6CE0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701237FF">
            <w:pPr>
              <w:snapToGrid w:val="0"/>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9.15.5</w:t>
            </w:r>
          </w:p>
        </w:tc>
        <w:tc>
          <w:tcPr>
            <w:tcW w:w="2767" w:type="dxa"/>
            <w:vAlign w:val="center"/>
          </w:tcPr>
          <w:p w14:paraId="6F4482DD">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参数定量功能</w:t>
            </w:r>
          </w:p>
        </w:tc>
        <w:tc>
          <w:tcPr>
            <w:tcW w:w="5537" w:type="dxa"/>
            <w:vAlign w:val="center"/>
          </w:tcPr>
          <w:p w14:paraId="71A0C6AF">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7825870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0B610DDA">
            <w:pPr>
              <w:snapToGrid w:val="0"/>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9.15.6</w:t>
            </w:r>
          </w:p>
        </w:tc>
        <w:tc>
          <w:tcPr>
            <w:tcW w:w="2767" w:type="dxa"/>
            <w:vAlign w:val="center"/>
          </w:tcPr>
          <w:p w14:paraId="4354D268">
            <w:pPr>
              <w:snapToGrid w:val="0"/>
              <w:spacing w:line="440" w:lineRule="exact"/>
              <w:jc w:val="left"/>
              <w:rPr>
                <w:rFonts w:ascii="宋体" w:hAnsi="宋体" w:cs="宋体"/>
                <w:bCs/>
                <w:color w:val="auto"/>
                <w:szCs w:val="21"/>
                <w:highlight w:val="none"/>
              </w:rPr>
            </w:pPr>
            <w:r>
              <w:rPr>
                <w:rFonts w:hint="eastAsia" w:ascii="宋体" w:hAnsi="宋体" w:cs="宋体"/>
                <w:bCs/>
                <w:color w:val="auto"/>
                <w:szCs w:val="21"/>
                <w:highlight w:val="none"/>
              </w:rPr>
              <w:t>图像融合功能</w:t>
            </w:r>
          </w:p>
        </w:tc>
        <w:tc>
          <w:tcPr>
            <w:tcW w:w="5537" w:type="dxa"/>
            <w:vAlign w:val="center"/>
          </w:tcPr>
          <w:p w14:paraId="16F60781">
            <w:pPr>
              <w:snapToGrid w:val="0"/>
              <w:spacing w:line="440" w:lineRule="exact"/>
              <w:jc w:val="left"/>
              <w:rPr>
                <w:rFonts w:ascii="宋体" w:hAnsi="宋体" w:cs="宋体"/>
                <w:bCs/>
                <w:color w:val="auto"/>
                <w:szCs w:val="21"/>
                <w:highlight w:val="none"/>
              </w:rPr>
            </w:pPr>
            <w:r>
              <w:rPr>
                <w:rFonts w:hint="eastAsia" w:ascii="宋体" w:hAnsi="宋体" w:cs="宋体"/>
                <w:bCs/>
                <w:color w:val="auto"/>
                <w:szCs w:val="21"/>
                <w:highlight w:val="none"/>
              </w:rPr>
              <w:t>具备</w:t>
            </w:r>
          </w:p>
        </w:tc>
      </w:tr>
      <w:tr w14:paraId="250E691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47F34463">
            <w:pPr>
              <w:snapToGrid w:val="0"/>
              <w:spacing w:line="440" w:lineRule="exact"/>
              <w:ind w:firstLine="210" w:firstLineChars="100"/>
              <w:rPr>
                <w:rFonts w:ascii="宋体" w:hAnsi="宋体" w:cs="宋体"/>
                <w:b/>
                <w:bCs/>
                <w:color w:val="auto"/>
                <w:szCs w:val="21"/>
                <w:highlight w:val="none"/>
              </w:rPr>
            </w:pPr>
            <w:r>
              <w:rPr>
                <w:rFonts w:hint="eastAsia" w:ascii="宋体" w:hAnsi="宋体" w:cs="宋体"/>
                <w:bCs/>
                <w:color w:val="auto"/>
                <w:szCs w:val="21"/>
                <w:highlight w:val="none"/>
              </w:rPr>
              <w:t>9.15.7</w:t>
            </w:r>
          </w:p>
        </w:tc>
        <w:tc>
          <w:tcPr>
            <w:tcW w:w="2767" w:type="dxa"/>
            <w:vAlign w:val="center"/>
          </w:tcPr>
          <w:p w14:paraId="7DC80E4B">
            <w:pPr>
              <w:snapToGrid w:val="0"/>
              <w:spacing w:line="440" w:lineRule="exact"/>
              <w:rPr>
                <w:rFonts w:ascii="宋体" w:hAnsi="宋体" w:cs="宋体"/>
                <w:bCs/>
                <w:color w:val="auto"/>
                <w:szCs w:val="21"/>
                <w:highlight w:val="none"/>
              </w:rPr>
            </w:pPr>
            <w:r>
              <w:rPr>
                <w:rFonts w:hint="eastAsia" w:ascii="宋体" w:hAnsi="宋体" w:cs="宋体"/>
                <w:bCs/>
                <w:color w:val="auto"/>
                <w:szCs w:val="21"/>
                <w:highlight w:val="none"/>
              </w:rPr>
              <w:t>仿真内窥镜</w:t>
            </w:r>
          </w:p>
        </w:tc>
        <w:tc>
          <w:tcPr>
            <w:tcW w:w="5537" w:type="dxa"/>
            <w:vAlign w:val="center"/>
          </w:tcPr>
          <w:p w14:paraId="375DE2FD">
            <w:pPr>
              <w:tabs>
                <w:tab w:val="left" w:pos="1620"/>
              </w:tabs>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55C9705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2A536D9F">
            <w:pPr>
              <w:pStyle w:val="37"/>
              <w:snapToGrid w:val="0"/>
              <w:spacing w:line="440" w:lineRule="exact"/>
              <w:ind w:firstLine="0" w:firstLineChars="0"/>
              <w:jc w:val="center"/>
              <w:rPr>
                <w:rFonts w:ascii="宋体" w:hAnsi="宋体" w:cs="宋体"/>
                <w:b/>
                <w:bCs/>
                <w:color w:val="auto"/>
                <w:szCs w:val="21"/>
                <w:highlight w:val="none"/>
              </w:rPr>
            </w:pPr>
            <w:r>
              <w:rPr>
                <w:rFonts w:hint="eastAsia" w:ascii="宋体" w:hAnsi="宋体" w:cs="宋体"/>
                <w:b/>
                <w:bCs/>
                <w:color w:val="auto"/>
                <w:szCs w:val="21"/>
                <w:highlight w:val="none"/>
              </w:rPr>
              <w:t>十、</w:t>
            </w:r>
          </w:p>
        </w:tc>
        <w:tc>
          <w:tcPr>
            <w:tcW w:w="2767" w:type="dxa"/>
            <w:vAlign w:val="center"/>
          </w:tcPr>
          <w:p w14:paraId="35FECC71">
            <w:pPr>
              <w:snapToGrid w:val="0"/>
              <w:spacing w:line="440" w:lineRule="exact"/>
              <w:rPr>
                <w:rFonts w:ascii="宋体" w:hAnsi="宋体" w:cs="宋体"/>
                <w:b/>
                <w:bCs/>
                <w:i/>
                <w:iCs/>
                <w:color w:val="auto"/>
                <w:szCs w:val="21"/>
                <w:highlight w:val="none"/>
              </w:rPr>
            </w:pPr>
            <w:r>
              <w:rPr>
                <w:rFonts w:hint="eastAsia" w:ascii="宋体" w:hAnsi="宋体" w:cs="宋体"/>
                <w:b/>
                <w:bCs/>
                <w:color w:val="auto"/>
                <w:szCs w:val="21"/>
                <w:highlight w:val="none"/>
              </w:rPr>
              <w:t>病人检查环境</w:t>
            </w:r>
          </w:p>
        </w:tc>
        <w:tc>
          <w:tcPr>
            <w:tcW w:w="5537" w:type="dxa"/>
            <w:vAlign w:val="center"/>
          </w:tcPr>
          <w:p w14:paraId="37446E73">
            <w:pPr>
              <w:tabs>
                <w:tab w:val="left" w:pos="1620"/>
              </w:tabs>
              <w:snapToGrid w:val="0"/>
              <w:spacing w:line="440" w:lineRule="exact"/>
              <w:rPr>
                <w:rFonts w:ascii="宋体" w:hAnsi="宋体" w:cs="宋体"/>
                <w:b/>
                <w:color w:val="auto"/>
                <w:szCs w:val="21"/>
                <w:highlight w:val="none"/>
              </w:rPr>
            </w:pPr>
          </w:p>
        </w:tc>
      </w:tr>
      <w:tr w14:paraId="6928067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0288A69C">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10.1</w:t>
            </w:r>
          </w:p>
        </w:tc>
        <w:tc>
          <w:tcPr>
            <w:tcW w:w="2767" w:type="dxa"/>
            <w:vAlign w:val="center"/>
          </w:tcPr>
          <w:p w14:paraId="0AD0558A">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双向病人通话系统</w:t>
            </w:r>
          </w:p>
        </w:tc>
        <w:tc>
          <w:tcPr>
            <w:tcW w:w="5537" w:type="dxa"/>
            <w:vAlign w:val="center"/>
          </w:tcPr>
          <w:p w14:paraId="5E041AA5">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0BA2509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5798AA83">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10.2</w:t>
            </w:r>
          </w:p>
        </w:tc>
        <w:tc>
          <w:tcPr>
            <w:tcW w:w="2767" w:type="dxa"/>
            <w:vAlign w:val="center"/>
          </w:tcPr>
          <w:p w14:paraId="0E9FDD7B">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防磁降噪耳机</w:t>
            </w:r>
          </w:p>
        </w:tc>
        <w:tc>
          <w:tcPr>
            <w:tcW w:w="5537" w:type="dxa"/>
            <w:vAlign w:val="center"/>
          </w:tcPr>
          <w:p w14:paraId="01D466BD">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0D8FBD3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0BB7572B">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10.3</w:t>
            </w:r>
          </w:p>
        </w:tc>
        <w:tc>
          <w:tcPr>
            <w:tcW w:w="2767" w:type="dxa"/>
            <w:vAlign w:val="center"/>
          </w:tcPr>
          <w:p w14:paraId="679CE94E">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检查通道通风系统</w:t>
            </w:r>
          </w:p>
        </w:tc>
        <w:tc>
          <w:tcPr>
            <w:tcW w:w="5537" w:type="dxa"/>
            <w:vAlign w:val="center"/>
          </w:tcPr>
          <w:p w14:paraId="2A359314">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741BA4A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50C15EBC">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10.4</w:t>
            </w:r>
          </w:p>
        </w:tc>
        <w:tc>
          <w:tcPr>
            <w:tcW w:w="2767" w:type="dxa"/>
            <w:vAlign w:val="center"/>
          </w:tcPr>
          <w:p w14:paraId="6F753CE0">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检查通道照明系统</w:t>
            </w:r>
          </w:p>
        </w:tc>
        <w:tc>
          <w:tcPr>
            <w:tcW w:w="5537" w:type="dxa"/>
            <w:vAlign w:val="center"/>
          </w:tcPr>
          <w:p w14:paraId="06C1427A">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286A0F3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1142587C">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10.5</w:t>
            </w:r>
          </w:p>
        </w:tc>
        <w:tc>
          <w:tcPr>
            <w:tcW w:w="2767" w:type="dxa"/>
            <w:vAlign w:val="center"/>
          </w:tcPr>
          <w:p w14:paraId="570AEB56">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磁体外壳两侧各1个嵌入式触控显示屏</w:t>
            </w:r>
          </w:p>
        </w:tc>
        <w:tc>
          <w:tcPr>
            <w:tcW w:w="5537" w:type="dxa"/>
            <w:vAlign w:val="center"/>
          </w:tcPr>
          <w:p w14:paraId="317EC074">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0879CF2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1A1DD713">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10.6</w:t>
            </w:r>
          </w:p>
        </w:tc>
        <w:tc>
          <w:tcPr>
            <w:tcW w:w="2767" w:type="dxa"/>
            <w:vAlign w:val="center"/>
          </w:tcPr>
          <w:p w14:paraId="5CB879BD">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患者生理信号监控系统</w:t>
            </w:r>
          </w:p>
        </w:tc>
        <w:tc>
          <w:tcPr>
            <w:tcW w:w="5537" w:type="dxa"/>
            <w:vAlign w:val="center"/>
          </w:tcPr>
          <w:p w14:paraId="6886E3AD">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2D6D657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6CEED75A">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10.7</w:t>
            </w:r>
          </w:p>
        </w:tc>
        <w:tc>
          <w:tcPr>
            <w:tcW w:w="2767" w:type="dxa"/>
            <w:vAlign w:val="center"/>
          </w:tcPr>
          <w:p w14:paraId="20EF9113">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床旁显示系统可读取患者个人信息及检查基本信息</w:t>
            </w:r>
          </w:p>
        </w:tc>
        <w:tc>
          <w:tcPr>
            <w:tcW w:w="5537" w:type="dxa"/>
            <w:vAlign w:val="center"/>
          </w:tcPr>
          <w:p w14:paraId="0F5CC93E">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3A66A9F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713E41C3">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10.8</w:t>
            </w:r>
          </w:p>
        </w:tc>
        <w:tc>
          <w:tcPr>
            <w:tcW w:w="2767" w:type="dxa"/>
            <w:vAlign w:val="center"/>
          </w:tcPr>
          <w:p w14:paraId="4E78122A">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床旁技师帮助系统</w:t>
            </w:r>
          </w:p>
        </w:tc>
        <w:tc>
          <w:tcPr>
            <w:tcW w:w="5537" w:type="dxa"/>
            <w:vAlign w:val="center"/>
          </w:tcPr>
          <w:p w14:paraId="4AF5B8B5">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5C9C079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7DCB3404">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10.9</w:t>
            </w:r>
          </w:p>
        </w:tc>
        <w:tc>
          <w:tcPr>
            <w:tcW w:w="2767" w:type="dxa"/>
            <w:vAlign w:val="center"/>
          </w:tcPr>
          <w:p w14:paraId="07C3365B">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患者紧急呼叫装置</w:t>
            </w:r>
          </w:p>
        </w:tc>
        <w:tc>
          <w:tcPr>
            <w:tcW w:w="5537" w:type="dxa"/>
            <w:vAlign w:val="center"/>
          </w:tcPr>
          <w:p w14:paraId="186FAE91">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533DB33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62CCA983">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10.10</w:t>
            </w:r>
          </w:p>
        </w:tc>
        <w:tc>
          <w:tcPr>
            <w:tcW w:w="2767" w:type="dxa"/>
            <w:vAlign w:val="center"/>
          </w:tcPr>
          <w:p w14:paraId="7AA9D503">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检查床最大承重</w:t>
            </w:r>
          </w:p>
        </w:tc>
        <w:tc>
          <w:tcPr>
            <w:tcW w:w="5537" w:type="dxa"/>
            <w:vAlign w:val="center"/>
          </w:tcPr>
          <w:p w14:paraId="6AC64122">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≥250KG</w:t>
            </w:r>
          </w:p>
        </w:tc>
      </w:tr>
      <w:tr w14:paraId="5D79303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5EF3D442">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10.11</w:t>
            </w:r>
          </w:p>
        </w:tc>
        <w:tc>
          <w:tcPr>
            <w:tcW w:w="2767" w:type="dxa"/>
            <w:vAlign w:val="center"/>
          </w:tcPr>
          <w:p w14:paraId="6288D8C6">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检查床最低床位高度</w:t>
            </w:r>
          </w:p>
        </w:tc>
        <w:tc>
          <w:tcPr>
            <w:tcW w:w="5537" w:type="dxa"/>
            <w:vAlign w:val="center"/>
          </w:tcPr>
          <w:p w14:paraId="1999EDBB">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≤52cm</w:t>
            </w:r>
          </w:p>
        </w:tc>
      </w:tr>
      <w:tr w14:paraId="1E361D5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7E93FD4A">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10.12</w:t>
            </w:r>
          </w:p>
        </w:tc>
        <w:tc>
          <w:tcPr>
            <w:tcW w:w="2767" w:type="dxa"/>
            <w:vAlign w:val="center"/>
          </w:tcPr>
          <w:p w14:paraId="3672B18E">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扫描床水平运动最大速度</w:t>
            </w:r>
          </w:p>
        </w:tc>
        <w:tc>
          <w:tcPr>
            <w:tcW w:w="5537" w:type="dxa"/>
            <w:vAlign w:val="center"/>
          </w:tcPr>
          <w:p w14:paraId="05217107">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≥20cm/s</w:t>
            </w:r>
          </w:p>
        </w:tc>
      </w:tr>
      <w:tr w14:paraId="43371EE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50469654">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10.13</w:t>
            </w:r>
          </w:p>
        </w:tc>
        <w:tc>
          <w:tcPr>
            <w:tcW w:w="2767" w:type="dxa"/>
            <w:vAlign w:val="center"/>
          </w:tcPr>
          <w:p w14:paraId="4F19251E">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单次进床最大扫描范围</w:t>
            </w:r>
          </w:p>
        </w:tc>
        <w:tc>
          <w:tcPr>
            <w:tcW w:w="5537" w:type="dxa"/>
            <w:vAlign w:val="center"/>
          </w:tcPr>
          <w:p w14:paraId="5F1EFF49">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≥160cm</w:t>
            </w:r>
          </w:p>
        </w:tc>
      </w:tr>
      <w:tr w14:paraId="429389A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16F9607E">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10.14</w:t>
            </w:r>
          </w:p>
        </w:tc>
        <w:tc>
          <w:tcPr>
            <w:tcW w:w="2767" w:type="dxa"/>
            <w:vAlign w:val="center"/>
          </w:tcPr>
          <w:p w14:paraId="3203D834">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多站扫描自动移床功能</w:t>
            </w:r>
          </w:p>
        </w:tc>
        <w:tc>
          <w:tcPr>
            <w:tcW w:w="5537" w:type="dxa"/>
            <w:vAlign w:val="center"/>
          </w:tcPr>
          <w:p w14:paraId="4FF10357">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746F09D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45B10AC1">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10.15</w:t>
            </w:r>
          </w:p>
        </w:tc>
        <w:tc>
          <w:tcPr>
            <w:tcW w:w="2767" w:type="dxa"/>
            <w:vAlign w:val="center"/>
          </w:tcPr>
          <w:p w14:paraId="3D3D71D6">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床旁紧急制动按钮</w:t>
            </w:r>
          </w:p>
        </w:tc>
        <w:tc>
          <w:tcPr>
            <w:tcW w:w="5537" w:type="dxa"/>
            <w:vAlign w:val="center"/>
          </w:tcPr>
          <w:p w14:paraId="69ED0AC0">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0FC585F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17946FE6">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10.16</w:t>
            </w:r>
          </w:p>
        </w:tc>
        <w:tc>
          <w:tcPr>
            <w:tcW w:w="2767" w:type="dxa"/>
            <w:vAlign w:val="center"/>
          </w:tcPr>
          <w:p w14:paraId="26A2FE35">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床旁脚踏扫描开关</w:t>
            </w:r>
          </w:p>
        </w:tc>
        <w:tc>
          <w:tcPr>
            <w:tcW w:w="5537" w:type="dxa"/>
            <w:vAlign w:val="center"/>
          </w:tcPr>
          <w:p w14:paraId="386728CA">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111E137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2C0F29F7">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10.17</w:t>
            </w:r>
          </w:p>
        </w:tc>
        <w:tc>
          <w:tcPr>
            <w:tcW w:w="2767" w:type="dxa"/>
            <w:vAlign w:val="center"/>
          </w:tcPr>
          <w:p w14:paraId="704ABD64">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防磁输液架</w:t>
            </w:r>
          </w:p>
        </w:tc>
        <w:tc>
          <w:tcPr>
            <w:tcW w:w="5537" w:type="dxa"/>
            <w:vAlign w:val="center"/>
          </w:tcPr>
          <w:p w14:paraId="2F8717BE">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6366F5A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09849052">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10.18</w:t>
            </w:r>
          </w:p>
        </w:tc>
        <w:tc>
          <w:tcPr>
            <w:tcW w:w="2767" w:type="dxa"/>
            <w:shd w:val="clear" w:color="auto" w:fill="auto"/>
            <w:vAlign w:val="center"/>
          </w:tcPr>
          <w:p w14:paraId="55A8036E">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原厂防磁线圈整理柜</w:t>
            </w:r>
          </w:p>
        </w:tc>
        <w:tc>
          <w:tcPr>
            <w:tcW w:w="5537" w:type="dxa"/>
            <w:shd w:val="clear" w:color="auto" w:fill="auto"/>
            <w:vAlign w:val="center"/>
          </w:tcPr>
          <w:p w14:paraId="485A0A38">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具备</w:t>
            </w:r>
          </w:p>
        </w:tc>
      </w:tr>
      <w:tr w14:paraId="6306612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0F2DDABE">
            <w:pPr>
              <w:snapToGrid w:val="0"/>
              <w:spacing w:line="440" w:lineRule="exact"/>
              <w:jc w:val="center"/>
              <w:rPr>
                <w:rFonts w:ascii="宋体" w:hAnsi="宋体" w:cs="宋体"/>
                <w:b/>
                <w:bCs/>
                <w:color w:val="auto"/>
                <w:szCs w:val="21"/>
                <w:highlight w:val="none"/>
              </w:rPr>
            </w:pPr>
            <w:r>
              <w:rPr>
                <w:rFonts w:hint="eastAsia" w:ascii="宋体" w:hAnsi="宋体" w:cs="宋体"/>
                <w:b/>
                <w:bCs/>
                <w:color w:val="auto"/>
                <w:szCs w:val="21"/>
                <w:highlight w:val="none"/>
              </w:rPr>
              <w:t>十一、</w:t>
            </w:r>
          </w:p>
        </w:tc>
        <w:tc>
          <w:tcPr>
            <w:tcW w:w="2767" w:type="dxa"/>
            <w:vAlign w:val="center"/>
          </w:tcPr>
          <w:p w14:paraId="22C14155">
            <w:pPr>
              <w:snapToGrid w:val="0"/>
              <w:spacing w:line="440" w:lineRule="exact"/>
              <w:rPr>
                <w:rFonts w:ascii="宋体" w:hAnsi="宋体" w:cs="宋体"/>
                <w:b/>
                <w:bCs/>
                <w:color w:val="auto"/>
                <w:szCs w:val="21"/>
                <w:highlight w:val="none"/>
              </w:rPr>
            </w:pPr>
            <w:r>
              <w:rPr>
                <w:rFonts w:hint="eastAsia" w:ascii="宋体" w:hAnsi="宋体" w:cs="宋体"/>
                <w:b/>
                <w:bCs/>
                <w:color w:val="auto"/>
                <w:szCs w:val="21"/>
                <w:highlight w:val="none"/>
              </w:rPr>
              <w:t>配套设施</w:t>
            </w:r>
          </w:p>
        </w:tc>
        <w:tc>
          <w:tcPr>
            <w:tcW w:w="5537" w:type="dxa"/>
            <w:vAlign w:val="center"/>
          </w:tcPr>
          <w:p w14:paraId="1CE6ED34">
            <w:pPr>
              <w:snapToGrid w:val="0"/>
              <w:spacing w:line="440" w:lineRule="exact"/>
              <w:rPr>
                <w:rFonts w:ascii="宋体" w:hAnsi="宋体" w:cs="宋体"/>
                <w:color w:val="auto"/>
                <w:szCs w:val="21"/>
                <w:highlight w:val="none"/>
              </w:rPr>
            </w:pPr>
          </w:p>
        </w:tc>
      </w:tr>
      <w:tr w14:paraId="2561FDB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7C5FD101">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11.1</w:t>
            </w:r>
          </w:p>
        </w:tc>
        <w:tc>
          <w:tcPr>
            <w:tcW w:w="2767" w:type="dxa"/>
            <w:vAlign w:val="center"/>
          </w:tcPr>
          <w:p w14:paraId="401E6270">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机房屏蔽及改造装修</w:t>
            </w:r>
          </w:p>
        </w:tc>
        <w:tc>
          <w:tcPr>
            <w:tcW w:w="5537" w:type="dxa"/>
            <w:vAlign w:val="center"/>
          </w:tcPr>
          <w:p w14:paraId="7958197B">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提供</w:t>
            </w:r>
          </w:p>
        </w:tc>
      </w:tr>
      <w:tr w14:paraId="2C072EF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1B33822D">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11.2</w:t>
            </w:r>
          </w:p>
        </w:tc>
        <w:tc>
          <w:tcPr>
            <w:tcW w:w="2767" w:type="dxa"/>
            <w:vAlign w:val="center"/>
          </w:tcPr>
          <w:p w14:paraId="2D2E8282">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精密空调1套</w:t>
            </w:r>
          </w:p>
        </w:tc>
        <w:tc>
          <w:tcPr>
            <w:tcW w:w="5537" w:type="dxa"/>
            <w:vAlign w:val="center"/>
          </w:tcPr>
          <w:p w14:paraId="685FE637">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提供</w:t>
            </w:r>
          </w:p>
        </w:tc>
      </w:tr>
      <w:tr w14:paraId="5A76AD4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6E515CDE">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11.3</w:t>
            </w:r>
          </w:p>
        </w:tc>
        <w:tc>
          <w:tcPr>
            <w:tcW w:w="2767" w:type="dxa"/>
            <w:vAlign w:val="center"/>
          </w:tcPr>
          <w:p w14:paraId="0B086D72">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水冷系统1套</w:t>
            </w:r>
          </w:p>
        </w:tc>
        <w:tc>
          <w:tcPr>
            <w:tcW w:w="5537" w:type="dxa"/>
            <w:vAlign w:val="center"/>
          </w:tcPr>
          <w:p w14:paraId="0D3F11F8">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提供</w:t>
            </w:r>
          </w:p>
        </w:tc>
      </w:tr>
      <w:tr w14:paraId="7B90ED2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01A36264">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11.4</w:t>
            </w:r>
          </w:p>
        </w:tc>
        <w:tc>
          <w:tcPr>
            <w:tcW w:w="2767" w:type="dxa"/>
            <w:vAlign w:val="center"/>
          </w:tcPr>
          <w:p w14:paraId="496E1FC9">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医用读片大屏≥55英寸1台</w:t>
            </w:r>
          </w:p>
        </w:tc>
        <w:tc>
          <w:tcPr>
            <w:tcW w:w="5537" w:type="dxa"/>
            <w:vAlign w:val="center"/>
          </w:tcPr>
          <w:p w14:paraId="1A646820">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提供</w:t>
            </w:r>
          </w:p>
        </w:tc>
      </w:tr>
      <w:tr w14:paraId="094CF7D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1BEC60D9">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11.5</w:t>
            </w:r>
          </w:p>
        </w:tc>
        <w:tc>
          <w:tcPr>
            <w:tcW w:w="2767" w:type="dxa"/>
            <w:vAlign w:val="center"/>
          </w:tcPr>
          <w:p w14:paraId="766D486A">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医生报告工作站2套</w:t>
            </w:r>
          </w:p>
        </w:tc>
        <w:tc>
          <w:tcPr>
            <w:tcW w:w="5537" w:type="dxa"/>
            <w:vAlign w:val="center"/>
          </w:tcPr>
          <w:p w14:paraId="08A2AFCD">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提供</w:t>
            </w:r>
          </w:p>
        </w:tc>
      </w:tr>
      <w:tr w14:paraId="2BAE97D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78B5CFD0">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11.6</w:t>
            </w:r>
          </w:p>
        </w:tc>
        <w:tc>
          <w:tcPr>
            <w:tcW w:w="2767" w:type="dxa"/>
            <w:vAlign w:val="center"/>
          </w:tcPr>
          <w:p w14:paraId="5488C321">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医用诊断屏2台</w:t>
            </w:r>
          </w:p>
        </w:tc>
        <w:tc>
          <w:tcPr>
            <w:tcW w:w="5537" w:type="dxa"/>
            <w:vAlign w:val="center"/>
          </w:tcPr>
          <w:p w14:paraId="46B802C1">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提供</w:t>
            </w:r>
          </w:p>
        </w:tc>
      </w:tr>
      <w:tr w14:paraId="05C92E7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1EDF9A9F">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11.7</w:t>
            </w:r>
          </w:p>
        </w:tc>
        <w:tc>
          <w:tcPr>
            <w:tcW w:w="2767" w:type="dxa"/>
            <w:vAlign w:val="center"/>
          </w:tcPr>
          <w:p w14:paraId="5C183E58">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双立柱铁磁探测器1套</w:t>
            </w:r>
          </w:p>
        </w:tc>
        <w:tc>
          <w:tcPr>
            <w:tcW w:w="5537" w:type="dxa"/>
            <w:vAlign w:val="center"/>
          </w:tcPr>
          <w:p w14:paraId="2B6A1FA3">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提供</w:t>
            </w:r>
          </w:p>
        </w:tc>
      </w:tr>
      <w:tr w14:paraId="0337593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5E1B8B6D">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11.8</w:t>
            </w:r>
          </w:p>
        </w:tc>
        <w:tc>
          <w:tcPr>
            <w:tcW w:w="2767" w:type="dxa"/>
            <w:vAlign w:val="center"/>
          </w:tcPr>
          <w:p w14:paraId="38278278">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磁共振室用高压注射器</w:t>
            </w:r>
          </w:p>
        </w:tc>
        <w:tc>
          <w:tcPr>
            <w:tcW w:w="5537" w:type="dxa"/>
            <w:vAlign w:val="center"/>
          </w:tcPr>
          <w:p w14:paraId="4D40A22D">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提供</w:t>
            </w:r>
          </w:p>
        </w:tc>
      </w:tr>
      <w:tr w14:paraId="3F81D56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1F1D4D7D">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11.9</w:t>
            </w:r>
          </w:p>
        </w:tc>
        <w:tc>
          <w:tcPr>
            <w:tcW w:w="2767" w:type="dxa"/>
            <w:vAlign w:val="center"/>
          </w:tcPr>
          <w:p w14:paraId="04208603">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无磁转运轮椅1个</w:t>
            </w:r>
          </w:p>
        </w:tc>
        <w:tc>
          <w:tcPr>
            <w:tcW w:w="5537" w:type="dxa"/>
            <w:shd w:val="clear" w:color="auto" w:fill="auto"/>
            <w:vAlign w:val="center"/>
          </w:tcPr>
          <w:p w14:paraId="4917FECF">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提供</w:t>
            </w:r>
          </w:p>
        </w:tc>
      </w:tr>
      <w:tr w14:paraId="004094C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56BFC129">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11.10</w:t>
            </w:r>
          </w:p>
        </w:tc>
        <w:tc>
          <w:tcPr>
            <w:tcW w:w="2767" w:type="dxa"/>
            <w:vAlign w:val="center"/>
          </w:tcPr>
          <w:p w14:paraId="49077B52">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可升降无磁转运床1个</w:t>
            </w:r>
          </w:p>
        </w:tc>
        <w:tc>
          <w:tcPr>
            <w:tcW w:w="5537" w:type="dxa"/>
            <w:shd w:val="clear" w:color="auto" w:fill="auto"/>
            <w:vAlign w:val="center"/>
          </w:tcPr>
          <w:p w14:paraId="2D2B63F9">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提供</w:t>
            </w:r>
          </w:p>
        </w:tc>
      </w:tr>
      <w:tr w14:paraId="7ED01DB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136CA38C">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11.11</w:t>
            </w:r>
          </w:p>
        </w:tc>
        <w:tc>
          <w:tcPr>
            <w:tcW w:w="2767" w:type="dxa"/>
            <w:vAlign w:val="center"/>
          </w:tcPr>
          <w:p w14:paraId="2ABEE219">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无磁紫外线消毒车1套、</w:t>
            </w:r>
          </w:p>
        </w:tc>
        <w:tc>
          <w:tcPr>
            <w:tcW w:w="5537" w:type="dxa"/>
            <w:shd w:val="clear" w:color="auto" w:fill="auto"/>
            <w:vAlign w:val="center"/>
          </w:tcPr>
          <w:p w14:paraId="7D50C20D">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提供</w:t>
            </w:r>
          </w:p>
        </w:tc>
      </w:tr>
      <w:tr w14:paraId="37BD355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271A7C76">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11.12</w:t>
            </w:r>
          </w:p>
        </w:tc>
        <w:tc>
          <w:tcPr>
            <w:tcW w:w="2767" w:type="dxa"/>
            <w:vAlign w:val="center"/>
          </w:tcPr>
          <w:p w14:paraId="25E93020">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患者物品保管柜1个</w:t>
            </w:r>
          </w:p>
        </w:tc>
        <w:tc>
          <w:tcPr>
            <w:tcW w:w="5537" w:type="dxa"/>
            <w:vAlign w:val="center"/>
          </w:tcPr>
          <w:p w14:paraId="757489D0">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提供</w:t>
            </w:r>
          </w:p>
        </w:tc>
      </w:tr>
      <w:tr w14:paraId="56206B0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0D03EE02">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11.13</w:t>
            </w:r>
          </w:p>
        </w:tc>
        <w:tc>
          <w:tcPr>
            <w:tcW w:w="2767" w:type="dxa"/>
            <w:vAlign w:val="center"/>
          </w:tcPr>
          <w:p w14:paraId="4FB39FA1">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办公桌椅5套</w:t>
            </w:r>
          </w:p>
        </w:tc>
        <w:tc>
          <w:tcPr>
            <w:tcW w:w="5537" w:type="dxa"/>
            <w:vAlign w:val="center"/>
          </w:tcPr>
          <w:p w14:paraId="0A25C3EA">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提供</w:t>
            </w:r>
          </w:p>
        </w:tc>
      </w:tr>
      <w:tr w14:paraId="07945EC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6788CEB4">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11.14</w:t>
            </w:r>
          </w:p>
        </w:tc>
        <w:tc>
          <w:tcPr>
            <w:tcW w:w="2767" w:type="dxa"/>
            <w:vAlign w:val="center"/>
          </w:tcPr>
          <w:p w14:paraId="1462B251">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无磁灭火器2个</w:t>
            </w:r>
          </w:p>
        </w:tc>
        <w:tc>
          <w:tcPr>
            <w:tcW w:w="5537" w:type="dxa"/>
            <w:vAlign w:val="center"/>
          </w:tcPr>
          <w:p w14:paraId="4FA942BE">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提供</w:t>
            </w:r>
          </w:p>
        </w:tc>
      </w:tr>
      <w:tr w14:paraId="6F88EBE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70F0FB02">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★11.15</w:t>
            </w:r>
          </w:p>
        </w:tc>
        <w:tc>
          <w:tcPr>
            <w:tcW w:w="2767" w:type="dxa"/>
            <w:vAlign w:val="center"/>
          </w:tcPr>
          <w:p w14:paraId="3849C374">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磁体间、设备间及相关功能房间（含室外机安装地点改造）按照医院要求进行装修及土建、承重施工、室内装饰装修、设备进出通道修补、</w:t>
            </w:r>
            <w:r>
              <w:rPr>
                <w:rFonts w:hint="eastAsia" w:ascii="宋体" w:hAnsi="宋体" w:cs="宋体"/>
                <w:color w:val="auto"/>
                <w:szCs w:val="21"/>
                <w:highlight w:val="none"/>
              </w:rPr>
              <w:t>主设备电源电缆、辅助电源电缆及铺设等，</w:t>
            </w:r>
            <w:r>
              <w:rPr>
                <w:rFonts w:hint="eastAsia" w:ascii="宋体" w:hAnsi="宋体" w:cs="宋体"/>
                <w:color w:val="auto"/>
                <w:szCs w:val="21"/>
                <w:highlight w:val="none"/>
              </w:rPr>
              <w:t>需经有资质的公司检测并出具机房检测报告。</w:t>
            </w:r>
          </w:p>
        </w:tc>
        <w:tc>
          <w:tcPr>
            <w:tcW w:w="5537" w:type="dxa"/>
            <w:vAlign w:val="center"/>
          </w:tcPr>
          <w:p w14:paraId="7C096376">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交钥匙工程，</w:t>
            </w:r>
            <w:r>
              <w:rPr>
                <w:rFonts w:hint="eastAsia" w:ascii="宋体" w:hAnsi="宋体" w:cs="宋体"/>
                <w:color w:val="auto"/>
                <w:szCs w:val="21"/>
                <w:highlight w:val="none"/>
              </w:rPr>
              <w:t>提供由采购人指定电房至主、辅设备电箱的电缆及铺设，含线缆桥架；</w:t>
            </w:r>
            <w:r>
              <w:rPr>
                <w:rFonts w:hint="eastAsia" w:ascii="宋体" w:hAnsi="宋体" w:cs="宋体"/>
                <w:color w:val="auto"/>
                <w:szCs w:val="21"/>
                <w:highlight w:val="none"/>
              </w:rPr>
              <w:t>门口安装双立柱铁磁探测器，投标单位提供承诺书加盖投标单位公章，格式自拟。</w:t>
            </w:r>
          </w:p>
        </w:tc>
      </w:tr>
      <w:tr w14:paraId="4DECA57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268" w:type="dxa"/>
            <w:vAlign w:val="center"/>
          </w:tcPr>
          <w:p w14:paraId="7F5EF859">
            <w:pP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▲11.16</w:t>
            </w:r>
          </w:p>
        </w:tc>
        <w:tc>
          <w:tcPr>
            <w:tcW w:w="2767" w:type="dxa"/>
            <w:vAlign w:val="center"/>
          </w:tcPr>
          <w:p w14:paraId="4C617440">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后期运营使用中，中标人需按照采购人要求提供免费的软件升级服务，以满足相应科研支持。</w:t>
            </w:r>
          </w:p>
        </w:tc>
        <w:tc>
          <w:tcPr>
            <w:tcW w:w="5537" w:type="dxa"/>
            <w:vAlign w:val="center"/>
          </w:tcPr>
          <w:p w14:paraId="7FDD3635">
            <w:pPr>
              <w:snapToGrid w:val="0"/>
              <w:spacing w:line="440" w:lineRule="exact"/>
              <w:rPr>
                <w:rFonts w:ascii="宋体" w:hAnsi="宋体" w:cs="宋体"/>
                <w:color w:val="auto"/>
                <w:szCs w:val="21"/>
                <w:highlight w:val="none"/>
              </w:rPr>
            </w:pPr>
            <w:r>
              <w:rPr>
                <w:rFonts w:hint="eastAsia" w:ascii="宋体" w:hAnsi="宋体" w:cs="宋体"/>
                <w:color w:val="auto"/>
                <w:szCs w:val="21"/>
                <w:highlight w:val="none"/>
              </w:rPr>
              <w:t>支持科研需求，软件免费升级，投标单位提供承诺书加盖投标单位公章，格式自拟。</w:t>
            </w:r>
          </w:p>
        </w:tc>
      </w:tr>
    </w:tbl>
    <w:p w14:paraId="3C92ADF9">
      <w:pPr>
        <w:ind w:firstLine="420" w:firstLineChars="200"/>
        <w:rPr>
          <w:color w:val="auto"/>
          <w:highlight w:val="none"/>
        </w:rPr>
      </w:pPr>
    </w:p>
    <w:p w14:paraId="1BFDC6D0">
      <w:pPr>
        <w:pStyle w:val="49"/>
        <w:spacing w:line="440" w:lineRule="exact"/>
        <w:ind w:firstLine="414" w:firstLineChars="200"/>
        <w:rPr>
          <w:b/>
          <w:bCs/>
          <w:color w:val="auto"/>
          <w:spacing w:val="-2"/>
          <w:sz w:val="21"/>
          <w:szCs w:val="21"/>
          <w:highlight w:val="none"/>
          <w:lang w:eastAsia="zh-CN"/>
        </w:rPr>
      </w:pPr>
      <w:r>
        <w:rPr>
          <w:rFonts w:hint="eastAsia"/>
          <w:b/>
          <w:bCs/>
          <w:color w:val="auto"/>
          <w:spacing w:val="-2"/>
          <w:sz w:val="21"/>
          <w:szCs w:val="21"/>
          <w:highlight w:val="none"/>
          <w:lang w:eastAsia="zh-CN"/>
        </w:rPr>
        <w:t>二、商务要求</w:t>
      </w:r>
    </w:p>
    <w:p w14:paraId="09C6F9E6">
      <w:pPr>
        <w:widowControl/>
        <w:spacing w:line="440" w:lineRule="exact"/>
        <w:ind w:firstLine="420" w:firstLineChars="200"/>
        <w:jc w:val="left"/>
        <w:rPr>
          <w:rFonts w:ascii="宋体" w:hAnsi="宋体" w:cs="宋体"/>
          <w:color w:val="auto"/>
          <w:szCs w:val="21"/>
          <w:highlight w:val="none"/>
        </w:rPr>
      </w:pPr>
      <w:r>
        <w:rPr>
          <w:rFonts w:hint="eastAsia" w:ascii="宋体" w:hAnsi="宋体" w:cs="宋体"/>
          <w:color w:val="auto"/>
          <w:kern w:val="0"/>
          <w:szCs w:val="21"/>
          <w:highlight w:val="none"/>
          <w:lang w:bidi="ar"/>
        </w:rPr>
        <w:t xml:space="preserve">（一）合同履行期限（交付期）：签署合同后45日内交付合同标的物及安装调试到位。 </w:t>
      </w:r>
    </w:p>
    <w:p w14:paraId="3EE06C57">
      <w:pPr>
        <w:widowControl/>
        <w:spacing w:line="440" w:lineRule="exact"/>
        <w:ind w:firstLine="420" w:firstLineChars="200"/>
        <w:jc w:val="left"/>
        <w:rPr>
          <w:rFonts w:ascii="宋体" w:hAnsi="宋体" w:cs="宋体"/>
          <w:color w:val="auto"/>
          <w:szCs w:val="21"/>
          <w:highlight w:val="none"/>
        </w:rPr>
      </w:pPr>
      <w:r>
        <w:rPr>
          <w:rFonts w:hint="eastAsia" w:ascii="宋体" w:hAnsi="宋体" w:cs="宋体"/>
          <w:color w:val="auto"/>
          <w:kern w:val="0"/>
          <w:szCs w:val="21"/>
          <w:highlight w:val="none"/>
          <w:lang w:bidi="ar"/>
        </w:rPr>
        <w:t xml:space="preserve">（二）地点和方式：乙方承担运送方式，送货到甲方指定地点 </w:t>
      </w:r>
    </w:p>
    <w:p w14:paraId="4A6ABA91">
      <w:pPr>
        <w:widowControl/>
        <w:spacing w:line="440" w:lineRule="exact"/>
        <w:ind w:firstLine="420" w:firstLineChars="200"/>
        <w:jc w:val="left"/>
        <w:rPr>
          <w:rFonts w:ascii="宋体" w:hAnsi="宋体" w:cs="宋体"/>
          <w:color w:val="auto"/>
          <w:szCs w:val="21"/>
          <w:highlight w:val="none"/>
        </w:rPr>
      </w:pPr>
      <w:r>
        <w:rPr>
          <w:rFonts w:hint="eastAsia" w:ascii="宋体" w:hAnsi="宋体" w:cs="宋体"/>
          <w:color w:val="auto"/>
          <w:kern w:val="0"/>
          <w:szCs w:val="21"/>
          <w:highlight w:val="none"/>
          <w:lang w:bidi="ar"/>
        </w:rPr>
        <w:t xml:space="preserve">（三）包装方式：交付货物的包装和运输的费用必须包含在投标报价中，且必须满足中国法律法规、相关部门的相应产业标准及本合同的要求。提供的货物应是全新、完整、技术成熟稳定、性能质量良好且未曾使用的产品，货物及相关许可证明文件、技术文件、软件、服务等均不存在瑕疵。 </w:t>
      </w:r>
    </w:p>
    <w:p w14:paraId="26A92DCC">
      <w:pPr>
        <w:widowControl/>
        <w:spacing w:line="440" w:lineRule="exact"/>
        <w:ind w:firstLine="420" w:firstLineChars="200"/>
        <w:jc w:val="left"/>
        <w:rPr>
          <w:rFonts w:ascii="宋体" w:hAnsi="宋体" w:cs="宋体"/>
          <w:color w:val="auto"/>
          <w:szCs w:val="21"/>
          <w:highlight w:val="none"/>
        </w:rPr>
      </w:pPr>
      <w:r>
        <w:rPr>
          <w:rFonts w:hint="eastAsia" w:ascii="宋体" w:hAnsi="宋体" w:cs="宋体"/>
          <w:color w:val="auto"/>
          <w:kern w:val="0"/>
          <w:szCs w:val="21"/>
          <w:highlight w:val="none"/>
          <w:lang w:bidi="ar"/>
        </w:rPr>
        <w:t xml:space="preserve">（四）验收方式:设备安装后，实际使用方按国际和国家标准及厂方标准进行质量验收。供应商应向实际使用方提供详细的验收标准、验收手册。供应商在验收时需提供所投设备生产厂家盖章的与投标文件一致的技术参数的证明材料（原厂盖章的原件），并按国家制造和安装的标准要求检测验收，如无法提供，实际使用方有权拒绝验收。验收前委托双方一致认可的国家相关权威检测中心进行检测，费用由供应商承担。只有在设备检测合格、完全正常运转经实际使用方确认后，设备的安装工作才能认为已全部完成。 </w:t>
      </w:r>
    </w:p>
    <w:p w14:paraId="102F54F1">
      <w:pPr>
        <w:widowControl/>
        <w:spacing w:line="440" w:lineRule="exact"/>
        <w:ind w:firstLine="420" w:firstLineChars="200"/>
        <w:jc w:val="left"/>
        <w:rPr>
          <w:rFonts w:ascii="宋体" w:hAnsi="宋体" w:cs="宋体"/>
          <w:color w:val="auto"/>
          <w:szCs w:val="21"/>
          <w:highlight w:val="none"/>
        </w:rPr>
      </w:pPr>
      <w:r>
        <w:rPr>
          <w:rFonts w:hint="eastAsia" w:ascii="宋体" w:hAnsi="宋体" w:cs="宋体"/>
          <w:color w:val="auto"/>
          <w:kern w:val="0"/>
          <w:szCs w:val="21"/>
          <w:highlight w:val="none"/>
          <w:lang w:bidi="ar"/>
        </w:rPr>
        <w:t xml:space="preserve">（五）付款进度安排： </w:t>
      </w:r>
    </w:p>
    <w:p w14:paraId="40FF2179">
      <w:pPr>
        <w:widowControl/>
        <w:spacing w:line="440" w:lineRule="exact"/>
        <w:ind w:firstLine="420" w:firstLineChars="200"/>
        <w:jc w:val="left"/>
        <w:rPr>
          <w:rFonts w:ascii="宋体" w:hAnsi="宋体" w:cs="宋体"/>
          <w:color w:val="auto"/>
          <w:szCs w:val="21"/>
          <w:highlight w:val="none"/>
        </w:rPr>
      </w:pPr>
      <w:r>
        <w:rPr>
          <w:rFonts w:hint="eastAsia" w:ascii="宋体" w:hAnsi="宋体" w:cs="宋体"/>
          <w:color w:val="auto"/>
          <w:kern w:val="0"/>
          <w:szCs w:val="21"/>
          <w:highlight w:val="none"/>
          <w:lang w:bidi="ar"/>
        </w:rPr>
        <w:t xml:space="preserve">1、合同签订后，中标供应商出具付款申请函、要求的付款资料向采购人申请付款，采购人在收到有效申请函10个工作日内向中标供应商支付合同总价的40%预付款。 </w:t>
      </w:r>
    </w:p>
    <w:p w14:paraId="24BE51B9">
      <w:pPr>
        <w:widowControl/>
        <w:spacing w:line="440" w:lineRule="exact"/>
        <w:ind w:firstLine="420" w:firstLineChars="200"/>
        <w:jc w:val="left"/>
        <w:rPr>
          <w:rFonts w:ascii="宋体" w:hAnsi="宋体" w:cs="宋体"/>
          <w:color w:val="auto"/>
          <w:kern w:val="0"/>
          <w:szCs w:val="21"/>
          <w:highlight w:val="none"/>
          <w:lang w:bidi="ar"/>
        </w:rPr>
      </w:pPr>
      <w:r>
        <w:rPr>
          <w:rFonts w:hint="eastAsia" w:ascii="宋体" w:hAnsi="宋体" w:cs="宋体"/>
          <w:color w:val="auto"/>
          <w:kern w:val="0"/>
          <w:szCs w:val="21"/>
          <w:highlight w:val="none"/>
          <w:lang w:bidi="ar"/>
        </w:rPr>
        <w:t>2、安装调试完成，第一次临床培训后，中标供应商出具付款申请函、发票及要求的付款资料申请付款，采购人收到有效发票10个工作日内向中标供应商支付合同总价的55%货款。</w:t>
      </w:r>
    </w:p>
    <w:p w14:paraId="657A7171">
      <w:pPr>
        <w:widowControl/>
        <w:spacing w:line="440" w:lineRule="exact"/>
        <w:ind w:firstLine="420" w:firstLineChars="200"/>
        <w:jc w:val="left"/>
        <w:rPr>
          <w:rFonts w:ascii="宋体" w:hAnsi="宋体" w:cs="宋体"/>
          <w:color w:val="auto"/>
          <w:szCs w:val="21"/>
          <w:highlight w:val="none"/>
        </w:rPr>
      </w:pPr>
      <w:r>
        <w:rPr>
          <w:rFonts w:hint="eastAsia" w:ascii="宋体" w:hAnsi="宋体" w:cs="宋体"/>
          <w:color w:val="auto"/>
          <w:kern w:val="0"/>
          <w:szCs w:val="21"/>
          <w:highlight w:val="none"/>
          <w:lang w:bidi="ar"/>
        </w:rPr>
        <w:t>3、经双方同意邀请院外专家参与验收，必要时委托采购代理机构验收，并签署验收报告，设备验收合格后采购人支付剩余款项。</w:t>
      </w:r>
    </w:p>
    <w:p w14:paraId="45D62C71">
      <w:pPr>
        <w:widowControl/>
        <w:spacing w:line="440" w:lineRule="exact"/>
        <w:ind w:firstLine="420" w:firstLineChars="200"/>
        <w:jc w:val="left"/>
        <w:rPr>
          <w:rFonts w:ascii="宋体" w:hAnsi="宋体" w:cs="宋体"/>
          <w:color w:val="auto"/>
          <w:kern w:val="0"/>
          <w:szCs w:val="21"/>
          <w:highlight w:val="none"/>
          <w:lang w:bidi="ar"/>
        </w:rPr>
      </w:pPr>
      <w:r>
        <w:rPr>
          <w:rFonts w:hint="eastAsia" w:ascii="宋体" w:hAnsi="宋体" w:cs="宋体"/>
          <w:color w:val="auto"/>
          <w:kern w:val="0"/>
          <w:szCs w:val="21"/>
          <w:highlight w:val="none"/>
          <w:lang w:bidi="ar"/>
        </w:rPr>
        <w:t>（六）质量保修范围和保修期：质保期自货物验收合格之日起计算，整体项目为3年质保。整体项目提供不少于 3 年的免费维护维修，设备由原厂提供维护维修，所有装备超过 3 年保修期后，维修只收取零部件成本费；设备停产后的备件供应：能保证十年及以上，并提供承诺书。</w:t>
      </w:r>
    </w:p>
    <w:p w14:paraId="50D75B86">
      <w:pPr>
        <w:widowControl/>
        <w:spacing w:line="440" w:lineRule="exact"/>
        <w:ind w:firstLine="420" w:firstLineChars="200"/>
        <w:jc w:val="left"/>
        <w:rPr>
          <w:rFonts w:ascii="宋体" w:hAnsi="宋体" w:cs="宋体"/>
          <w:color w:val="auto"/>
          <w:kern w:val="0"/>
          <w:szCs w:val="21"/>
          <w:highlight w:val="none"/>
          <w:lang w:bidi="ar"/>
        </w:rPr>
      </w:pPr>
      <w:r>
        <w:rPr>
          <w:rFonts w:hint="eastAsia" w:ascii="宋体" w:hAnsi="宋体" w:cs="宋体"/>
          <w:color w:val="auto"/>
          <w:kern w:val="0"/>
          <w:szCs w:val="21"/>
          <w:highlight w:val="none"/>
          <w:lang w:bidi="ar"/>
        </w:rPr>
        <w:t xml:space="preserve">（七）售后服务要求 </w:t>
      </w:r>
    </w:p>
    <w:p w14:paraId="08E12481">
      <w:pPr>
        <w:widowControl/>
        <w:spacing w:line="440" w:lineRule="exact"/>
        <w:ind w:firstLine="420" w:firstLineChars="200"/>
        <w:jc w:val="left"/>
        <w:rPr>
          <w:rFonts w:ascii="宋体" w:hAnsi="宋体" w:cs="宋体"/>
          <w:color w:val="auto"/>
          <w:kern w:val="0"/>
          <w:szCs w:val="21"/>
          <w:highlight w:val="none"/>
          <w:lang w:bidi="ar"/>
        </w:rPr>
      </w:pPr>
      <w:r>
        <w:rPr>
          <w:rFonts w:hint="eastAsia" w:ascii="宋体" w:hAnsi="宋体" w:cs="宋体"/>
          <w:color w:val="auto"/>
          <w:kern w:val="0"/>
          <w:szCs w:val="21"/>
          <w:highlight w:val="none"/>
          <w:lang w:bidi="ar"/>
        </w:rPr>
        <w:t>1、保修期内的开机率保证≥95%（按工作日计算），并提供一套</w:t>
      </w:r>
      <w:r>
        <w:rPr>
          <w:rFonts w:hint="eastAsia" w:ascii="宋体" w:hAnsi="宋体" w:cs="宋体"/>
          <w:color w:val="auto"/>
          <w:szCs w:val="21"/>
          <w:highlight w:val="none"/>
        </w:rPr>
        <w:t>配套的维修工具。</w:t>
      </w:r>
      <w:r>
        <w:rPr>
          <w:rFonts w:hint="eastAsia" w:ascii="宋体" w:hAnsi="宋体" w:cs="宋体"/>
          <w:color w:val="auto"/>
          <w:kern w:val="0"/>
          <w:szCs w:val="21"/>
          <w:highlight w:val="none"/>
          <w:lang w:bidi="ar"/>
        </w:rPr>
        <w:t xml:space="preserve"> </w:t>
      </w:r>
    </w:p>
    <w:p w14:paraId="624DA296">
      <w:pPr>
        <w:widowControl/>
        <w:spacing w:line="440" w:lineRule="exact"/>
        <w:ind w:firstLine="420" w:firstLineChars="200"/>
        <w:jc w:val="left"/>
        <w:rPr>
          <w:rFonts w:ascii="宋体" w:hAnsi="宋体" w:cs="宋体"/>
          <w:color w:val="auto"/>
          <w:kern w:val="0"/>
          <w:szCs w:val="21"/>
          <w:highlight w:val="none"/>
          <w:lang w:bidi="ar"/>
        </w:rPr>
      </w:pPr>
      <w:r>
        <w:rPr>
          <w:rFonts w:hint="eastAsia" w:ascii="宋体" w:hAnsi="宋体" w:cs="宋体"/>
          <w:color w:val="auto"/>
          <w:kern w:val="0"/>
          <w:szCs w:val="21"/>
          <w:highlight w:val="none"/>
          <w:lang w:bidi="ar"/>
        </w:rPr>
        <w:t xml:space="preserve">2、整机全免费保修期（无免责条款的整机所有部件、配件、配套附属设备，包括但不限于磁体、冷头、射频发射线圈、射频接收线圈、液氦、射频放大器、梯度放大器、机房空调、水冷机等的全免费保修）≥36 个月（自验收合格双方签字之日起计算），终身维修。保修期内一年至少提供四次巡检。免费保修期内遇有故障停机，每停机1天，免费保修期将顺延5天。保修期内每年免费提供一次设备的质量检测并出具检测报告（由国家授权的检测机构进行）。 </w:t>
      </w:r>
    </w:p>
    <w:p w14:paraId="5B8F55CD">
      <w:pPr>
        <w:widowControl/>
        <w:spacing w:line="440" w:lineRule="exact"/>
        <w:ind w:firstLine="420" w:firstLineChars="200"/>
        <w:jc w:val="left"/>
        <w:rPr>
          <w:rFonts w:ascii="宋体" w:hAnsi="宋体" w:cs="宋体"/>
          <w:color w:val="auto"/>
          <w:kern w:val="0"/>
          <w:szCs w:val="21"/>
          <w:highlight w:val="none"/>
          <w:lang w:bidi="ar"/>
        </w:rPr>
      </w:pPr>
      <w:r>
        <w:rPr>
          <w:rFonts w:hint="eastAsia" w:ascii="宋体" w:hAnsi="宋体" w:cs="宋体"/>
          <w:color w:val="auto"/>
          <w:kern w:val="0"/>
          <w:szCs w:val="21"/>
          <w:highlight w:val="none"/>
          <w:lang w:bidi="ar"/>
        </w:rPr>
        <w:t>3、免费保修期结束后，每年全保修（包括但不限于磁体、冷头、射频发射线圈、射频接收线圈、液氦、射频放大器、梯度放大器、机房空调、水冷机）费用为≤5%中标价；</w:t>
      </w:r>
    </w:p>
    <w:p w14:paraId="7F5D2E25">
      <w:pPr>
        <w:widowControl/>
        <w:spacing w:line="440" w:lineRule="exact"/>
        <w:ind w:firstLine="420" w:firstLineChars="200"/>
        <w:jc w:val="left"/>
        <w:rPr>
          <w:rFonts w:ascii="宋体" w:hAnsi="宋体" w:cs="宋体"/>
          <w:color w:val="auto"/>
          <w:kern w:val="0"/>
          <w:szCs w:val="21"/>
          <w:highlight w:val="none"/>
          <w:lang w:bidi="ar"/>
        </w:rPr>
      </w:pPr>
      <w:r>
        <w:rPr>
          <w:rFonts w:hint="eastAsia" w:ascii="宋体" w:hAnsi="宋体" w:cs="宋体"/>
          <w:color w:val="auto"/>
          <w:kern w:val="0"/>
          <w:szCs w:val="21"/>
          <w:highlight w:val="none"/>
          <w:lang w:bidi="ar"/>
        </w:rPr>
        <w:t>4、技术支持和售后服务：如果仪器出现故障，在接到维修服务的请求后，工程师应在1小时内作出应答，进行电话指导、网上诊断协助排除故障；如未排除故障12小时内派维修人员到达用户现场维修。免费质保期满前2个月内中标人应负责一次免费全面检查，并出具正式检测报告，如发现潜在问题，应负责排除。</w:t>
      </w:r>
    </w:p>
    <w:p w14:paraId="26B4E54F">
      <w:pPr>
        <w:widowControl/>
        <w:spacing w:line="440" w:lineRule="exact"/>
        <w:ind w:firstLine="420" w:firstLineChars="200"/>
        <w:jc w:val="left"/>
        <w:rPr>
          <w:rFonts w:ascii="宋体" w:hAnsi="宋体" w:cs="宋体"/>
          <w:color w:val="auto"/>
          <w:kern w:val="0"/>
          <w:szCs w:val="21"/>
          <w:highlight w:val="none"/>
          <w:lang w:bidi="ar"/>
        </w:rPr>
      </w:pPr>
      <w:r>
        <w:rPr>
          <w:rFonts w:hint="eastAsia" w:ascii="宋体" w:hAnsi="宋体" w:cs="宋体"/>
          <w:color w:val="auto"/>
          <w:kern w:val="0"/>
          <w:szCs w:val="21"/>
          <w:highlight w:val="none"/>
          <w:lang w:bidi="ar"/>
        </w:rPr>
        <w:t>（八）培训：</w:t>
      </w:r>
    </w:p>
    <w:p w14:paraId="33DC868B">
      <w:pPr>
        <w:widowControl/>
        <w:spacing w:line="440" w:lineRule="exact"/>
        <w:ind w:firstLine="420" w:firstLineChars="200"/>
        <w:jc w:val="left"/>
        <w:rPr>
          <w:rFonts w:ascii="宋体" w:hAnsi="宋体" w:cs="宋体"/>
          <w:color w:val="auto"/>
          <w:kern w:val="0"/>
          <w:szCs w:val="21"/>
          <w:highlight w:val="none"/>
          <w:lang w:bidi="ar"/>
        </w:rPr>
      </w:pPr>
      <w:r>
        <w:rPr>
          <w:rFonts w:hint="eastAsia" w:ascii="宋体" w:hAnsi="宋体" w:cs="宋体"/>
          <w:color w:val="auto"/>
          <w:kern w:val="0"/>
          <w:szCs w:val="21"/>
          <w:highlight w:val="none"/>
          <w:lang w:bidi="ar"/>
        </w:rPr>
        <w:t>1、中标人应安排原厂工程师为采购人提供免费培训服务，并指派专人负责与采购人联系售后服务事宜。仪器安装现场为至少4名仪器操作人员提供免费的操作及维护培训，内容包括但不限于：设备的基本结构、性能、主要部件的构造，日常使用操作、保养与维护管理、常见故障的排除、紧急情况的处置等。</w:t>
      </w:r>
    </w:p>
    <w:p w14:paraId="11E25D12">
      <w:pPr>
        <w:widowControl/>
        <w:spacing w:line="440" w:lineRule="exact"/>
        <w:ind w:firstLine="420" w:firstLineChars="200"/>
        <w:jc w:val="left"/>
        <w:rPr>
          <w:rFonts w:ascii="宋体" w:hAnsi="宋体" w:cs="宋体"/>
          <w:b/>
          <w:bCs/>
          <w:i/>
          <w:iCs/>
          <w:color w:val="auto"/>
          <w:szCs w:val="21"/>
          <w:highlight w:val="none"/>
          <w:u w:val="single"/>
        </w:rPr>
      </w:pPr>
      <w:r>
        <w:rPr>
          <w:rFonts w:hint="eastAsia" w:ascii="宋体" w:hAnsi="宋体" w:cs="宋体"/>
          <w:color w:val="auto"/>
          <w:kern w:val="0"/>
          <w:szCs w:val="21"/>
          <w:highlight w:val="none"/>
          <w:lang w:bidi="ar"/>
        </w:rPr>
        <w:t>2、由制造商或其或其认可的应用专家为用户操作人员（至少4人）提供免费培训，有具体的培训课程安排，通过培训操作人员能够熟练掌握各部位的摆位、系列选择、参数适当调整及操作技巧和日常维护；累积培训时间不少于10个工作日。在仪器使用集中培训以后，若用户仍有技术问题，中标人在任何时候，都应在12 小时以内提供详细技术方案并予以解决。</w:t>
      </w:r>
    </w:p>
    <w:p w14:paraId="512C42A8">
      <w:pPr>
        <w:spacing w:line="440" w:lineRule="exact"/>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三、其他说明及要求</w:t>
      </w:r>
    </w:p>
    <w:p w14:paraId="35D71EEA">
      <w:pPr>
        <w:spacing w:line="44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1、投标人为确保所投产品质保期结束后正常使用、维护，需向采购人提供备品备件及专用工具，标书内提供常用备品备件价格表。</w:t>
      </w:r>
    </w:p>
    <w:p w14:paraId="17D4285A">
      <w:pPr>
        <w:spacing w:line="44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2、投标报价应包括招标文件所确定招标范围全部内容的价格体现，应包括全部货物、装修、辅助设施、安装、调试、人工、机械、运输、仓储、保险、运费、各种税费、保险、劳保及质保期间等一切费用。请各投标单位认真考虑其各种风险，除合同另有规定之外，采购人不再另行支付。</w:t>
      </w:r>
    </w:p>
    <w:p w14:paraId="4BC2D7B7">
      <w:pPr>
        <w:spacing w:line="44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3、投标人必须按照招标文件要求对产品的各个参数指标作出实质性应答，任何偏差都必须列入偏离表中。中标后，中标人在合同谈判中提出的任何偏差都不得超过此偏差表中明确提供产品的品牌、型号、规格和外形、尺寸、安装及一些必须说明的技术参数，同时明确生产厂家、型号规格等。</w:t>
      </w:r>
    </w:p>
    <w:p w14:paraId="43A9BA15">
      <w:pPr>
        <w:spacing w:line="44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4、货物由中标人运至采购人指定地点，验收交货前存放及保管概由中标人负责。产品材料的包装均应有良好的防湿、防锈、防潮、防雨、防腐及防碰撞的措施。凡由于包装不良造成的损失和由此产生的费用均由中标人承担。</w:t>
      </w:r>
    </w:p>
    <w:p w14:paraId="0A032670">
      <w:pPr>
        <w:spacing w:line="44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5、安装队伍必须加强管理，遵守现场的一切规章制度，文明施工，注意安全；安装期间，中标人必须服从采购人管理，且出现的一切安全事故均由中标人自行承担。货物进场前机房检测合格并出具机房检测报告，货物经采购人验货后才能安装；中标人安装人员、施工机械或在运输装卸途中对其他产品及邻近管线等造成损坏，应由中标人负责修复及承担一切费用；无论安装期间或退换过程中，中标人负责及时清理垃圾，保证环境整洁。</w:t>
      </w:r>
    </w:p>
    <w:p w14:paraId="38D6BCC0">
      <w:pPr>
        <w:spacing w:line="44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6、中标人在接到采购人通知后，需根据采购人要求及现场具体情况，拟定产品进场方案报采购人，征得采购人同意后方可安排产品进场。</w:t>
      </w:r>
    </w:p>
    <w:p w14:paraId="61B88AB0">
      <w:pPr>
        <w:spacing w:line="44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7、中标人所提供的产品应符合招标项目的技术要求，如出现技术参数等不符合招标文件的质量问题，采购人有权要求中标人免费更换，如供应商在10日内未完成更换且给采购人造成影响的，则采购人有权解除合同并要求赔偿。</w:t>
      </w:r>
    </w:p>
    <w:p w14:paraId="055719CB">
      <w:pPr>
        <w:spacing w:line="44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8、在接到采购人报修后，中标人需在规定时间内响应并到达现场解决故障，若因为中标人维修不及时，给采购人造成影响的，采购人有权追究其法律责任。</w:t>
      </w:r>
    </w:p>
    <w:p w14:paraId="5996189D">
      <w:pPr>
        <w:spacing w:line="440" w:lineRule="exact"/>
        <w:ind w:firstLine="420" w:firstLineChars="200"/>
        <w:rPr>
          <w:rFonts w:ascii="宋体" w:hAnsi="宋体" w:cs="宋体"/>
          <w:i/>
          <w:iCs/>
          <w:color w:val="auto"/>
          <w:szCs w:val="21"/>
          <w:highlight w:val="none"/>
          <w:u w:val="single"/>
        </w:rPr>
      </w:pPr>
      <w:r>
        <w:rPr>
          <w:rFonts w:hint="eastAsia" w:ascii="宋体" w:hAnsi="宋体" w:cs="宋体"/>
          <w:i/>
          <w:iCs/>
          <w:color w:val="auto"/>
          <w:szCs w:val="21"/>
          <w:highlight w:val="none"/>
          <w:u w:val="single"/>
        </w:rPr>
        <w:t>10. 所有设备和部件必须是全新的，未曾使用过的。投标人应对本次采购的所有货物进行响应，部分响应将被拒绝（部分响应是指未对本次采购的所有货物进行响应并报价）。</w:t>
      </w:r>
    </w:p>
    <w:p w14:paraId="387936F2">
      <w:pPr>
        <w:spacing w:line="440" w:lineRule="exact"/>
        <w:ind w:firstLine="420" w:firstLineChars="200"/>
        <w:rPr>
          <w:rFonts w:ascii="宋体" w:hAnsi="宋体" w:cs="宋体"/>
          <w:i/>
          <w:iCs/>
          <w:color w:val="auto"/>
          <w:szCs w:val="21"/>
          <w:highlight w:val="none"/>
          <w:u w:val="single"/>
        </w:rPr>
      </w:pPr>
      <w:r>
        <w:rPr>
          <w:rFonts w:hint="eastAsia" w:ascii="宋体" w:hAnsi="宋体" w:cs="宋体"/>
          <w:i/>
          <w:iCs/>
          <w:color w:val="auto"/>
          <w:szCs w:val="21"/>
          <w:highlight w:val="none"/>
          <w:u w:val="single"/>
        </w:rPr>
        <w:t>11. 投标设备型号若为再制造产品（翻新机）型号，其投标将被拒绝。</w:t>
      </w:r>
    </w:p>
    <w:p w14:paraId="67012183">
      <w:pPr>
        <w:pStyle w:val="2"/>
        <w:spacing w:line="360" w:lineRule="auto"/>
        <w:jc w:val="center"/>
        <w:rPr>
          <w:rFonts w:ascii="宋体" w:hAnsi="宋体"/>
          <w:color w:val="auto"/>
          <w:highlight w:val="none"/>
        </w:rPr>
        <w:sectPr>
          <w:pgSz w:w="11906" w:h="16838"/>
          <w:pgMar w:top="1440" w:right="1800" w:bottom="1440" w:left="1800" w:header="851" w:footer="992" w:gutter="0"/>
          <w:cols w:space="720" w:num="1"/>
          <w:docGrid w:type="lines" w:linePitch="312" w:charSpace="0"/>
        </w:sectPr>
      </w:pPr>
    </w:p>
    <w:p w14:paraId="2288E24F">
      <w:pPr>
        <w:pStyle w:val="2"/>
        <w:spacing w:line="360" w:lineRule="auto"/>
        <w:jc w:val="center"/>
        <w:rPr>
          <w:rFonts w:ascii="宋体" w:hAnsi="宋体"/>
          <w:color w:val="auto"/>
          <w:highlight w:val="none"/>
        </w:rPr>
      </w:pPr>
      <w:r>
        <w:rPr>
          <w:rFonts w:hint="eastAsia" w:ascii="宋体" w:hAnsi="宋体"/>
          <w:color w:val="auto"/>
          <w:highlight w:val="none"/>
        </w:rPr>
        <w:t>第五章 评标方法及评标标准</w:t>
      </w:r>
      <w:bookmarkEnd w:id="60"/>
    </w:p>
    <w:p w14:paraId="3D8F49DF">
      <w:pPr>
        <w:pStyle w:val="28"/>
        <w:ind w:firstLine="422" w:firstLineChars="200"/>
        <w:rPr>
          <w:rFonts w:ascii="宋体" w:hAnsi="宋体"/>
          <w:b/>
          <w:color w:val="auto"/>
          <w:kern w:val="2"/>
          <w:sz w:val="21"/>
          <w:szCs w:val="21"/>
          <w:highlight w:val="none"/>
        </w:rPr>
      </w:pPr>
      <w:r>
        <w:rPr>
          <w:rFonts w:hint="eastAsia" w:ascii="宋体" w:hAnsi="宋体"/>
          <w:b/>
          <w:color w:val="auto"/>
          <w:kern w:val="2"/>
          <w:sz w:val="21"/>
          <w:szCs w:val="21"/>
          <w:highlight w:val="none"/>
        </w:rPr>
        <w:t>一、评标方法</w:t>
      </w:r>
    </w:p>
    <w:p w14:paraId="35E635D0">
      <w:pPr>
        <w:pStyle w:val="28"/>
        <w:ind w:firstLine="420" w:firstLineChars="200"/>
        <w:rPr>
          <w:rFonts w:ascii="宋体" w:hAnsi="宋体"/>
          <w:color w:val="auto"/>
          <w:kern w:val="2"/>
          <w:sz w:val="21"/>
          <w:szCs w:val="21"/>
          <w:highlight w:val="none"/>
        </w:rPr>
      </w:pPr>
      <w:r>
        <w:rPr>
          <w:rFonts w:hint="eastAsia" w:ascii="宋体" w:hAnsi="宋体"/>
          <w:color w:val="auto"/>
          <w:kern w:val="2"/>
          <w:sz w:val="21"/>
          <w:szCs w:val="21"/>
          <w:highlight w:val="none"/>
        </w:rPr>
        <w:t>本项目采用综合评分法，评委会将对确定为实质性响应招标文件要求的投标文件进行评价和比较。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6AE72B22">
      <w:pPr>
        <w:spacing w:line="360" w:lineRule="auto"/>
        <w:ind w:firstLine="422" w:firstLineChars="200"/>
        <w:rPr>
          <w:rFonts w:ascii="宋体" w:hAnsi="宋体"/>
          <w:b/>
          <w:color w:val="auto"/>
          <w:szCs w:val="21"/>
          <w:highlight w:val="none"/>
        </w:rPr>
      </w:pPr>
      <w:bookmarkStart w:id="61" w:name="_Toc449017024"/>
      <w:bookmarkStart w:id="62" w:name="_Toc449016388"/>
      <w:r>
        <w:rPr>
          <w:rFonts w:ascii="宋体" w:hAnsi="宋体"/>
          <w:b/>
          <w:color w:val="auto"/>
          <w:szCs w:val="21"/>
          <w:highlight w:val="none"/>
        </w:rPr>
        <w:t>二、</w:t>
      </w:r>
      <w:r>
        <w:rPr>
          <w:rFonts w:hint="eastAsia" w:ascii="宋体" w:hAnsi="宋体"/>
          <w:b/>
          <w:color w:val="auto"/>
          <w:szCs w:val="21"/>
          <w:highlight w:val="none"/>
        </w:rPr>
        <w:t>政府采购政策功能落实</w:t>
      </w:r>
      <w:bookmarkEnd w:id="61"/>
      <w:bookmarkEnd w:id="62"/>
    </w:p>
    <w:p w14:paraId="3FF15321">
      <w:pPr>
        <w:spacing w:line="360" w:lineRule="auto"/>
        <w:ind w:firstLine="420" w:firstLineChars="200"/>
        <w:rPr>
          <w:rFonts w:ascii="宋体" w:hAnsi="宋体"/>
          <w:b/>
          <w:color w:val="auto"/>
          <w:szCs w:val="21"/>
          <w:highlight w:val="none"/>
        </w:rPr>
      </w:pPr>
      <w:r>
        <w:rPr>
          <w:rFonts w:ascii="宋体" w:hAnsi="宋体"/>
          <w:color w:val="auto"/>
          <w:highlight w:val="none"/>
        </w:rPr>
        <w:t>按照《政府采购促进中小企业发展管理办法》的规定，未预留份额专门面向中小企业采购的采购项目或分包，对符合条件的小微型企业、监狱和戒毒企业价格或残疾人福利单位所制造生产的货物或提供的服务进行价格扣除，具体如下：</w:t>
      </w:r>
    </w:p>
    <w:p w14:paraId="6B0E48D8">
      <w:pPr>
        <w:pStyle w:val="28"/>
        <w:ind w:left="315" w:leftChars="150" w:firstLine="105" w:firstLineChars="50"/>
        <w:rPr>
          <w:rFonts w:ascii="宋体" w:hAnsi="宋体"/>
          <w:color w:val="auto"/>
          <w:kern w:val="2"/>
          <w:sz w:val="21"/>
          <w:szCs w:val="21"/>
          <w:highlight w:val="none"/>
        </w:rPr>
      </w:pPr>
      <w:r>
        <w:rPr>
          <w:rFonts w:ascii="宋体" w:hAnsi="宋体"/>
          <w:color w:val="auto"/>
          <w:kern w:val="2"/>
          <w:sz w:val="21"/>
          <w:szCs w:val="21"/>
          <w:highlight w:val="none"/>
        </w:rPr>
        <w:t>1、小微型企业价格扣除</w:t>
      </w:r>
    </w:p>
    <w:p w14:paraId="4BA9DCF1">
      <w:pPr>
        <w:pStyle w:val="28"/>
        <w:ind w:firstLine="420" w:firstLineChars="200"/>
        <w:rPr>
          <w:rFonts w:ascii="宋体" w:hAnsi="宋体"/>
          <w:color w:val="auto"/>
          <w:kern w:val="2"/>
          <w:sz w:val="21"/>
          <w:szCs w:val="21"/>
          <w:highlight w:val="none"/>
        </w:rPr>
      </w:pPr>
      <w:r>
        <w:rPr>
          <w:rFonts w:ascii="宋体" w:hAnsi="宋体"/>
          <w:color w:val="auto"/>
          <w:kern w:val="2"/>
          <w:sz w:val="21"/>
          <w:szCs w:val="21"/>
          <w:highlight w:val="none"/>
        </w:rPr>
        <w:t>（1）本项目对小型和微型企业产品给予</w:t>
      </w:r>
      <w:r>
        <w:rPr>
          <w:rFonts w:hint="eastAsia" w:ascii="宋体" w:hAnsi="宋体"/>
          <w:color w:val="auto"/>
          <w:kern w:val="2"/>
          <w:sz w:val="21"/>
          <w:szCs w:val="21"/>
          <w:highlight w:val="none"/>
        </w:rPr>
        <w:t>20</w:t>
      </w:r>
      <w:r>
        <w:rPr>
          <w:rFonts w:ascii="宋体" w:hAnsi="宋体"/>
          <w:color w:val="auto"/>
          <w:kern w:val="2"/>
          <w:sz w:val="21"/>
          <w:szCs w:val="21"/>
          <w:highlight w:val="none"/>
        </w:rPr>
        <w:t>%的扣除价格，用扣除后的价格参与评审。</w:t>
      </w:r>
    </w:p>
    <w:p w14:paraId="6AF4B409">
      <w:pPr>
        <w:pStyle w:val="28"/>
        <w:ind w:firstLine="420" w:firstLineChars="200"/>
        <w:rPr>
          <w:rFonts w:ascii="宋体" w:hAnsi="宋体"/>
          <w:color w:val="auto"/>
          <w:kern w:val="2"/>
          <w:sz w:val="21"/>
          <w:szCs w:val="21"/>
          <w:highlight w:val="none"/>
        </w:rPr>
      </w:pPr>
      <w:r>
        <w:rPr>
          <w:rFonts w:ascii="宋体" w:hAnsi="宋体"/>
          <w:color w:val="auto"/>
          <w:kern w:val="2"/>
          <w:sz w:val="21"/>
          <w:szCs w:val="21"/>
          <w:highlight w:val="none"/>
        </w:rPr>
        <w:t>（2）供应商需按照采购文件的要求提供相应的《企业声明函》。</w:t>
      </w:r>
    </w:p>
    <w:p w14:paraId="29D45C8A">
      <w:pPr>
        <w:pStyle w:val="28"/>
        <w:ind w:left="420" w:leftChars="200" w:firstLine="0"/>
        <w:rPr>
          <w:rFonts w:ascii="宋体" w:hAnsi="宋体"/>
          <w:color w:val="auto"/>
          <w:kern w:val="2"/>
          <w:sz w:val="21"/>
          <w:szCs w:val="21"/>
          <w:highlight w:val="none"/>
        </w:rPr>
      </w:pPr>
      <w:r>
        <w:rPr>
          <w:rFonts w:ascii="宋体" w:hAnsi="宋体"/>
          <w:color w:val="auto"/>
          <w:kern w:val="2"/>
          <w:sz w:val="21"/>
          <w:szCs w:val="21"/>
          <w:highlight w:val="none"/>
        </w:rPr>
        <w:t>2、残疾人福利单位价格扣除</w:t>
      </w:r>
    </w:p>
    <w:p w14:paraId="2FC76ECA">
      <w:pPr>
        <w:pStyle w:val="28"/>
        <w:ind w:left="315" w:leftChars="150" w:firstLine="105" w:firstLineChars="50"/>
        <w:rPr>
          <w:rFonts w:ascii="宋体" w:hAnsi="宋体"/>
          <w:color w:val="auto"/>
          <w:kern w:val="2"/>
          <w:sz w:val="21"/>
          <w:szCs w:val="21"/>
          <w:highlight w:val="none"/>
        </w:rPr>
      </w:pPr>
      <w:r>
        <w:rPr>
          <w:rFonts w:ascii="宋体" w:hAnsi="宋体"/>
          <w:color w:val="auto"/>
          <w:kern w:val="2"/>
          <w:sz w:val="21"/>
          <w:szCs w:val="21"/>
          <w:highlight w:val="none"/>
        </w:rPr>
        <w:t>（1）本项目对残疾人福利性单位视同小型、微型企业，给予</w:t>
      </w:r>
      <w:r>
        <w:rPr>
          <w:rFonts w:hint="eastAsia" w:ascii="宋体" w:hAnsi="宋体"/>
          <w:color w:val="auto"/>
          <w:kern w:val="2"/>
          <w:sz w:val="21"/>
          <w:szCs w:val="21"/>
          <w:highlight w:val="none"/>
        </w:rPr>
        <w:t>20</w:t>
      </w:r>
      <w:r>
        <w:rPr>
          <w:rFonts w:ascii="宋体" w:hAnsi="宋体"/>
          <w:color w:val="auto"/>
          <w:kern w:val="2"/>
          <w:sz w:val="21"/>
          <w:szCs w:val="21"/>
          <w:highlight w:val="none"/>
        </w:rPr>
        <w:t>%的价格扣除，用扣除</w:t>
      </w:r>
    </w:p>
    <w:p w14:paraId="346F2A5E">
      <w:pPr>
        <w:pStyle w:val="28"/>
        <w:ind w:firstLine="0"/>
        <w:rPr>
          <w:rFonts w:ascii="宋体" w:hAnsi="宋体"/>
          <w:color w:val="auto"/>
          <w:kern w:val="2"/>
          <w:sz w:val="21"/>
          <w:szCs w:val="21"/>
          <w:highlight w:val="none"/>
        </w:rPr>
      </w:pPr>
      <w:r>
        <w:rPr>
          <w:rFonts w:ascii="宋体" w:hAnsi="宋体"/>
          <w:color w:val="auto"/>
          <w:kern w:val="2"/>
          <w:sz w:val="21"/>
          <w:szCs w:val="21"/>
          <w:highlight w:val="none"/>
        </w:rPr>
        <w:t>后的价格参与评审。</w:t>
      </w:r>
    </w:p>
    <w:p w14:paraId="52C872A5">
      <w:pPr>
        <w:pStyle w:val="28"/>
        <w:ind w:left="420" w:leftChars="200" w:firstLine="0"/>
        <w:rPr>
          <w:rFonts w:ascii="宋体" w:hAnsi="宋体"/>
          <w:color w:val="auto"/>
          <w:kern w:val="2"/>
          <w:sz w:val="21"/>
          <w:szCs w:val="21"/>
          <w:highlight w:val="none"/>
        </w:rPr>
      </w:pPr>
      <w:r>
        <w:rPr>
          <w:rFonts w:ascii="宋体" w:hAnsi="宋体"/>
          <w:color w:val="auto"/>
          <w:kern w:val="2"/>
          <w:sz w:val="21"/>
          <w:szCs w:val="21"/>
          <w:highlight w:val="none"/>
        </w:rPr>
        <w:t>（2）残疾人福利单位需按照采购文件的要求提供《残疾人福利性单位声明函》。</w:t>
      </w:r>
    </w:p>
    <w:p w14:paraId="4C4BA9E5">
      <w:pPr>
        <w:pStyle w:val="28"/>
        <w:ind w:left="420" w:leftChars="200" w:firstLine="0"/>
        <w:rPr>
          <w:rFonts w:ascii="宋体" w:hAnsi="宋体"/>
          <w:color w:val="auto"/>
          <w:kern w:val="2"/>
          <w:sz w:val="21"/>
          <w:szCs w:val="21"/>
          <w:highlight w:val="none"/>
        </w:rPr>
      </w:pPr>
      <w:r>
        <w:rPr>
          <w:rFonts w:ascii="宋体" w:hAnsi="宋体"/>
          <w:color w:val="auto"/>
          <w:kern w:val="2"/>
          <w:sz w:val="21"/>
          <w:szCs w:val="21"/>
          <w:highlight w:val="none"/>
        </w:rPr>
        <w:t>（3）残疾人福利单位标准请参照《关于促进残疾人就业政府采购政策的通知》（财库</w:t>
      </w:r>
    </w:p>
    <w:p w14:paraId="00AC92F5">
      <w:pPr>
        <w:pStyle w:val="28"/>
        <w:ind w:left="420" w:hanging="420" w:hangingChars="200"/>
        <w:rPr>
          <w:rFonts w:ascii="宋体" w:hAnsi="宋体"/>
          <w:color w:val="auto"/>
          <w:kern w:val="2"/>
          <w:sz w:val="21"/>
          <w:szCs w:val="21"/>
          <w:highlight w:val="none"/>
        </w:rPr>
      </w:pPr>
      <w:r>
        <w:rPr>
          <w:rFonts w:ascii="宋体" w:hAnsi="宋体"/>
          <w:color w:val="auto"/>
          <w:kern w:val="2"/>
          <w:sz w:val="21"/>
          <w:szCs w:val="21"/>
          <w:highlight w:val="none"/>
        </w:rPr>
        <w:t>〔2017〕141号）。</w:t>
      </w:r>
    </w:p>
    <w:p w14:paraId="38AE76C5">
      <w:pPr>
        <w:pStyle w:val="28"/>
        <w:ind w:left="420" w:leftChars="200" w:firstLine="0"/>
        <w:rPr>
          <w:rFonts w:ascii="宋体" w:hAnsi="宋体"/>
          <w:color w:val="auto"/>
          <w:kern w:val="2"/>
          <w:sz w:val="21"/>
          <w:szCs w:val="21"/>
          <w:highlight w:val="none"/>
        </w:rPr>
      </w:pPr>
      <w:r>
        <w:rPr>
          <w:rFonts w:ascii="宋体" w:hAnsi="宋体"/>
          <w:color w:val="auto"/>
          <w:kern w:val="2"/>
          <w:sz w:val="21"/>
          <w:szCs w:val="21"/>
          <w:highlight w:val="none"/>
        </w:rPr>
        <w:t>3、监狱和戒毒企业价格扣除</w:t>
      </w:r>
    </w:p>
    <w:p w14:paraId="53F633A7">
      <w:pPr>
        <w:pStyle w:val="28"/>
        <w:ind w:left="420" w:leftChars="200" w:firstLine="0"/>
        <w:rPr>
          <w:rFonts w:ascii="宋体" w:hAnsi="宋体"/>
          <w:color w:val="auto"/>
          <w:kern w:val="2"/>
          <w:sz w:val="21"/>
          <w:szCs w:val="21"/>
          <w:highlight w:val="none"/>
        </w:rPr>
      </w:pPr>
      <w:r>
        <w:rPr>
          <w:rFonts w:ascii="宋体" w:hAnsi="宋体"/>
          <w:color w:val="auto"/>
          <w:kern w:val="2"/>
          <w:sz w:val="21"/>
          <w:szCs w:val="21"/>
          <w:highlight w:val="none"/>
        </w:rPr>
        <w:t>（1）本项目对监狱和戒毒企业（简称监狱企业）视同小型、微型企业，给予</w:t>
      </w:r>
      <w:r>
        <w:rPr>
          <w:rFonts w:hint="eastAsia" w:ascii="宋体" w:hAnsi="宋体"/>
          <w:color w:val="auto"/>
          <w:kern w:val="2"/>
          <w:sz w:val="21"/>
          <w:szCs w:val="21"/>
          <w:highlight w:val="none"/>
        </w:rPr>
        <w:t>20</w:t>
      </w:r>
      <w:r>
        <w:rPr>
          <w:rFonts w:ascii="宋体" w:hAnsi="宋体"/>
          <w:color w:val="auto"/>
          <w:kern w:val="2"/>
          <w:sz w:val="21"/>
          <w:szCs w:val="21"/>
          <w:highlight w:val="none"/>
        </w:rPr>
        <w:t>%的价</w:t>
      </w:r>
    </w:p>
    <w:p w14:paraId="3C3B485A">
      <w:pPr>
        <w:pStyle w:val="28"/>
        <w:ind w:firstLine="0"/>
        <w:rPr>
          <w:rFonts w:ascii="宋体" w:hAnsi="宋体"/>
          <w:color w:val="auto"/>
          <w:kern w:val="2"/>
          <w:sz w:val="21"/>
          <w:szCs w:val="21"/>
          <w:highlight w:val="none"/>
        </w:rPr>
      </w:pPr>
      <w:r>
        <w:rPr>
          <w:rFonts w:ascii="宋体" w:hAnsi="宋体"/>
          <w:color w:val="auto"/>
          <w:kern w:val="2"/>
          <w:sz w:val="21"/>
          <w:szCs w:val="21"/>
          <w:highlight w:val="none"/>
        </w:rPr>
        <w:t>格扣除，用扣除后的价格参与评审。</w:t>
      </w:r>
    </w:p>
    <w:p w14:paraId="6EEB7F9F">
      <w:pPr>
        <w:pStyle w:val="28"/>
        <w:ind w:left="420" w:leftChars="200" w:firstLine="0"/>
        <w:rPr>
          <w:rFonts w:ascii="宋体" w:hAnsi="宋体"/>
          <w:color w:val="auto"/>
          <w:kern w:val="2"/>
          <w:sz w:val="21"/>
          <w:szCs w:val="21"/>
          <w:highlight w:val="none"/>
        </w:rPr>
      </w:pPr>
      <w:r>
        <w:rPr>
          <w:rFonts w:ascii="宋体" w:hAnsi="宋体"/>
          <w:color w:val="auto"/>
          <w:kern w:val="2"/>
          <w:sz w:val="21"/>
          <w:szCs w:val="21"/>
          <w:highlight w:val="none"/>
        </w:rPr>
        <w:t>（2）监狱企业参加政府采购活动时，需提供由省级以上监狱管理局、戒毒管理局(含新</w:t>
      </w:r>
    </w:p>
    <w:p w14:paraId="69EE2B49">
      <w:pPr>
        <w:pStyle w:val="28"/>
        <w:ind w:left="420" w:hanging="420" w:hangingChars="200"/>
        <w:rPr>
          <w:rFonts w:ascii="宋体" w:hAnsi="宋体"/>
          <w:color w:val="auto"/>
          <w:kern w:val="2"/>
          <w:sz w:val="21"/>
          <w:szCs w:val="21"/>
          <w:highlight w:val="none"/>
        </w:rPr>
      </w:pPr>
      <w:r>
        <w:rPr>
          <w:rFonts w:ascii="宋体" w:hAnsi="宋体"/>
          <w:color w:val="auto"/>
          <w:kern w:val="2"/>
          <w:sz w:val="21"/>
          <w:szCs w:val="21"/>
          <w:highlight w:val="none"/>
        </w:rPr>
        <w:t>疆生产建设兵团)出具的属于监狱企业的证明文件。供应商如不提供上述证明文件，价格将</w:t>
      </w:r>
    </w:p>
    <w:p w14:paraId="7BD8D619">
      <w:pPr>
        <w:pStyle w:val="28"/>
        <w:ind w:left="420" w:hanging="420" w:hangingChars="200"/>
        <w:rPr>
          <w:rFonts w:ascii="宋体" w:hAnsi="宋体"/>
          <w:color w:val="auto"/>
          <w:kern w:val="2"/>
          <w:sz w:val="21"/>
          <w:szCs w:val="21"/>
          <w:highlight w:val="none"/>
        </w:rPr>
      </w:pPr>
      <w:r>
        <w:rPr>
          <w:rFonts w:ascii="宋体" w:hAnsi="宋体"/>
          <w:color w:val="auto"/>
          <w:kern w:val="2"/>
          <w:sz w:val="21"/>
          <w:szCs w:val="21"/>
          <w:highlight w:val="none"/>
        </w:rPr>
        <w:t>不做相应扣除。</w:t>
      </w:r>
    </w:p>
    <w:p w14:paraId="25D5C426">
      <w:pPr>
        <w:pStyle w:val="28"/>
        <w:ind w:left="420" w:leftChars="200" w:firstLine="210" w:firstLineChars="100"/>
        <w:rPr>
          <w:rFonts w:ascii="宋体" w:hAnsi="宋体"/>
          <w:color w:val="auto"/>
          <w:kern w:val="2"/>
          <w:sz w:val="21"/>
          <w:szCs w:val="21"/>
          <w:highlight w:val="none"/>
        </w:rPr>
      </w:pPr>
      <w:r>
        <w:rPr>
          <w:rFonts w:ascii="宋体" w:hAnsi="宋体"/>
          <w:color w:val="auto"/>
          <w:kern w:val="2"/>
          <w:sz w:val="21"/>
          <w:szCs w:val="21"/>
          <w:highlight w:val="none"/>
        </w:rPr>
        <w:t>（3）监狱企业标准请参照《关于政府采购支持监狱企业发展有关问题的通知》（财库[2014]68号）。</w:t>
      </w:r>
    </w:p>
    <w:p w14:paraId="10DFDC4A">
      <w:pPr>
        <w:pStyle w:val="28"/>
        <w:ind w:firstLine="420" w:firstLineChars="200"/>
        <w:rPr>
          <w:rFonts w:ascii="宋体" w:hAnsi="宋体"/>
          <w:color w:val="auto"/>
          <w:kern w:val="2"/>
          <w:sz w:val="21"/>
          <w:szCs w:val="21"/>
          <w:highlight w:val="none"/>
        </w:rPr>
      </w:pPr>
      <w:r>
        <w:rPr>
          <w:rFonts w:ascii="宋体" w:hAnsi="宋体"/>
          <w:color w:val="auto"/>
          <w:kern w:val="2"/>
          <w:sz w:val="21"/>
          <w:szCs w:val="21"/>
          <w:highlight w:val="none"/>
        </w:rPr>
        <w:t>4、残疾人福利单位、监狱企业属于小型、微型企业的，不重复享受政策。</w:t>
      </w:r>
    </w:p>
    <w:p w14:paraId="341360F4">
      <w:pPr>
        <w:pStyle w:val="28"/>
        <w:ind w:left="420" w:leftChars="200" w:firstLine="0"/>
        <w:rPr>
          <w:rFonts w:ascii="宋体" w:hAnsi="宋体"/>
          <w:color w:val="auto"/>
          <w:kern w:val="2"/>
          <w:sz w:val="21"/>
          <w:szCs w:val="21"/>
          <w:highlight w:val="none"/>
        </w:rPr>
      </w:pPr>
      <w:r>
        <w:rPr>
          <w:rFonts w:ascii="宋体" w:hAnsi="宋体"/>
          <w:color w:val="auto"/>
          <w:kern w:val="2"/>
          <w:sz w:val="21"/>
          <w:szCs w:val="21"/>
          <w:highlight w:val="none"/>
        </w:rPr>
        <w:t>5、大中型企业和其他自然人、法人或者其他组织并与小型、微型企业（残疾人福利单</w:t>
      </w:r>
    </w:p>
    <w:p w14:paraId="151D84A0">
      <w:pPr>
        <w:pStyle w:val="28"/>
        <w:ind w:left="420" w:hanging="420" w:hangingChars="200"/>
        <w:rPr>
          <w:rFonts w:ascii="宋体" w:hAnsi="宋体"/>
          <w:color w:val="auto"/>
          <w:kern w:val="2"/>
          <w:sz w:val="21"/>
          <w:szCs w:val="21"/>
          <w:highlight w:val="none"/>
        </w:rPr>
      </w:pPr>
      <w:r>
        <w:rPr>
          <w:rFonts w:ascii="宋体" w:hAnsi="宋体"/>
          <w:color w:val="auto"/>
          <w:kern w:val="2"/>
          <w:sz w:val="21"/>
          <w:szCs w:val="21"/>
          <w:highlight w:val="none"/>
        </w:rPr>
        <w:t>位、监狱企业）组成联合体共同参加政府采购活动。联合协议中约定，小型、微型企业（残</w:t>
      </w:r>
    </w:p>
    <w:p w14:paraId="49F6B2CC">
      <w:pPr>
        <w:pStyle w:val="28"/>
        <w:ind w:left="420" w:hanging="420" w:hangingChars="200"/>
        <w:rPr>
          <w:rFonts w:ascii="宋体" w:hAnsi="宋体"/>
          <w:color w:val="auto"/>
          <w:kern w:val="2"/>
          <w:sz w:val="21"/>
          <w:szCs w:val="21"/>
          <w:highlight w:val="none"/>
        </w:rPr>
      </w:pPr>
      <w:r>
        <w:rPr>
          <w:rFonts w:ascii="宋体" w:hAnsi="宋体"/>
          <w:color w:val="auto"/>
          <w:kern w:val="2"/>
          <w:sz w:val="21"/>
          <w:szCs w:val="21"/>
          <w:highlight w:val="none"/>
        </w:rPr>
        <w:t>疾人福利单位、监狱企业）的协议合同金额占到联合体协议合同总金额30%以上的，给予联</w:t>
      </w:r>
    </w:p>
    <w:p w14:paraId="73F7E98D">
      <w:pPr>
        <w:pStyle w:val="28"/>
        <w:ind w:left="420" w:hanging="420" w:hangingChars="200"/>
        <w:rPr>
          <w:rFonts w:ascii="宋体" w:hAnsi="宋体"/>
          <w:color w:val="auto"/>
          <w:kern w:val="2"/>
          <w:sz w:val="21"/>
          <w:szCs w:val="21"/>
          <w:highlight w:val="none"/>
        </w:rPr>
      </w:pPr>
      <w:r>
        <w:rPr>
          <w:rFonts w:ascii="宋体" w:hAnsi="宋体"/>
          <w:color w:val="auto"/>
          <w:kern w:val="2"/>
          <w:sz w:val="21"/>
          <w:szCs w:val="21"/>
          <w:highlight w:val="none"/>
        </w:rPr>
        <w:t>合体</w:t>
      </w:r>
      <w:r>
        <w:rPr>
          <w:rFonts w:hint="eastAsia" w:ascii="宋体" w:hAnsi="宋体"/>
          <w:color w:val="auto"/>
          <w:kern w:val="2"/>
          <w:sz w:val="21"/>
          <w:szCs w:val="21"/>
          <w:highlight w:val="none"/>
        </w:rPr>
        <w:t>6</w:t>
      </w:r>
      <w:r>
        <w:rPr>
          <w:rFonts w:ascii="宋体" w:hAnsi="宋体"/>
          <w:color w:val="auto"/>
          <w:kern w:val="2"/>
          <w:sz w:val="21"/>
          <w:szCs w:val="21"/>
          <w:highlight w:val="none"/>
        </w:rPr>
        <w:t>%的价格扣除，用扣除后的价格参与评审。</w:t>
      </w:r>
    </w:p>
    <w:p w14:paraId="31DBCEC1">
      <w:pPr>
        <w:pStyle w:val="28"/>
        <w:ind w:left="420" w:leftChars="200" w:firstLine="0"/>
        <w:rPr>
          <w:rFonts w:ascii="宋体" w:hAnsi="宋体"/>
          <w:color w:val="auto"/>
          <w:kern w:val="2"/>
          <w:sz w:val="21"/>
          <w:szCs w:val="21"/>
          <w:highlight w:val="none"/>
        </w:rPr>
      </w:pPr>
      <w:r>
        <w:rPr>
          <w:rFonts w:ascii="宋体" w:hAnsi="宋体"/>
          <w:color w:val="auto"/>
          <w:kern w:val="2"/>
          <w:sz w:val="21"/>
          <w:szCs w:val="21"/>
          <w:highlight w:val="none"/>
        </w:rPr>
        <w:t>6、联合体各方均为小型、微型企业（残疾人福利单位、监狱企业）的，联合体享受</w:t>
      </w:r>
      <w:r>
        <w:rPr>
          <w:rFonts w:hint="eastAsia" w:ascii="宋体" w:hAnsi="宋体"/>
          <w:color w:val="auto"/>
          <w:kern w:val="2"/>
          <w:sz w:val="21"/>
          <w:szCs w:val="21"/>
          <w:highlight w:val="none"/>
        </w:rPr>
        <w:t>20</w:t>
      </w:r>
      <w:r>
        <w:rPr>
          <w:rFonts w:ascii="宋体" w:hAnsi="宋体"/>
          <w:color w:val="auto"/>
          <w:kern w:val="2"/>
          <w:sz w:val="21"/>
          <w:szCs w:val="21"/>
          <w:highlight w:val="none"/>
        </w:rPr>
        <w:t>%</w:t>
      </w:r>
    </w:p>
    <w:p w14:paraId="6D0F140C">
      <w:pPr>
        <w:pStyle w:val="28"/>
        <w:ind w:left="420" w:hanging="420" w:hangingChars="200"/>
        <w:rPr>
          <w:rFonts w:ascii="宋体" w:hAnsi="宋体"/>
          <w:color w:val="auto"/>
          <w:kern w:val="2"/>
          <w:sz w:val="21"/>
          <w:szCs w:val="21"/>
          <w:highlight w:val="none"/>
        </w:rPr>
      </w:pPr>
      <w:r>
        <w:rPr>
          <w:rFonts w:ascii="宋体" w:hAnsi="宋体"/>
          <w:color w:val="auto"/>
          <w:kern w:val="2"/>
          <w:sz w:val="21"/>
          <w:szCs w:val="21"/>
          <w:highlight w:val="none"/>
        </w:rPr>
        <w:t>价格扣除，用扣除后的价格参与评审。</w:t>
      </w:r>
    </w:p>
    <w:p w14:paraId="66C51E9E">
      <w:pPr>
        <w:pStyle w:val="28"/>
        <w:ind w:firstLine="420" w:firstLineChars="200"/>
        <w:rPr>
          <w:rFonts w:ascii="宋体" w:hAnsi="宋体"/>
          <w:color w:val="auto"/>
          <w:kern w:val="2"/>
          <w:sz w:val="21"/>
          <w:szCs w:val="21"/>
          <w:highlight w:val="none"/>
        </w:rPr>
      </w:pPr>
      <w:r>
        <w:rPr>
          <w:rFonts w:hint="eastAsia" w:ascii="宋体" w:hAnsi="宋体"/>
          <w:color w:val="auto"/>
          <w:kern w:val="2"/>
          <w:sz w:val="21"/>
          <w:szCs w:val="21"/>
          <w:highlight w:val="none"/>
        </w:rPr>
        <w:t>7、大中型企业向小型、微型企业分包的，分包意向协议约定小型、微型企业合同份额占到合同总金额30%以上的，给予6%的价格扣除，用扣除后的价格参与评审。</w:t>
      </w:r>
    </w:p>
    <w:p w14:paraId="140AD904">
      <w:pPr>
        <w:pStyle w:val="28"/>
        <w:ind w:firstLine="422" w:firstLineChars="200"/>
        <w:outlineLvl w:val="1"/>
        <w:rPr>
          <w:rFonts w:ascii="宋体" w:hAnsi="宋体"/>
          <w:b/>
          <w:color w:val="auto"/>
          <w:kern w:val="2"/>
          <w:sz w:val="21"/>
          <w:szCs w:val="21"/>
          <w:highlight w:val="none"/>
        </w:rPr>
      </w:pPr>
      <w:r>
        <w:rPr>
          <w:rFonts w:hint="eastAsia" w:ascii="宋体" w:hAnsi="宋体"/>
          <w:b/>
          <w:color w:val="auto"/>
          <w:kern w:val="2"/>
          <w:sz w:val="21"/>
          <w:szCs w:val="21"/>
          <w:highlight w:val="none"/>
        </w:rPr>
        <w:t>三、评标标准</w:t>
      </w:r>
    </w:p>
    <w:tbl>
      <w:tblPr>
        <w:tblStyle w:val="21"/>
        <w:tblW w:w="9976" w:type="dxa"/>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1261"/>
        <w:gridCol w:w="8715"/>
      </w:tblGrid>
      <w:tr w14:paraId="184D3FF6">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1261"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7254F3B4">
            <w:pPr>
              <w:widowControl/>
              <w:adjustRightInd w:val="0"/>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项  目</w:t>
            </w:r>
          </w:p>
        </w:tc>
        <w:tc>
          <w:tcPr>
            <w:tcW w:w="8715"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76655447">
            <w:pPr>
              <w:widowControl/>
              <w:adjustRightInd w:val="0"/>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评分标准</w:t>
            </w:r>
          </w:p>
        </w:tc>
      </w:tr>
      <w:tr w14:paraId="10CDD2A3">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1261"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590F5A7D">
            <w:pPr>
              <w:spacing w:line="440" w:lineRule="exact"/>
              <w:jc w:val="center"/>
              <w:rPr>
                <w:rFonts w:ascii="宋体" w:hAnsi="宋体" w:cs="宋体"/>
                <w:color w:val="auto"/>
                <w:szCs w:val="21"/>
                <w:highlight w:val="none"/>
              </w:rPr>
            </w:pPr>
            <w:r>
              <w:rPr>
                <w:rFonts w:hint="eastAsia" w:ascii="宋体" w:hAnsi="宋体" w:cs="宋体"/>
                <w:color w:val="auto"/>
                <w:szCs w:val="21"/>
                <w:highlight w:val="none"/>
              </w:rPr>
              <w:t>价  格</w:t>
            </w:r>
          </w:p>
          <w:p w14:paraId="144A15E4">
            <w:pPr>
              <w:spacing w:line="440" w:lineRule="exact"/>
              <w:jc w:val="center"/>
              <w:rPr>
                <w:rFonts w:ascii="宋体" w:hAnsi="宋体" w:cs="宋体"/>
                <w:color w:val="auto"/>
                <w:szCs w:val="21"/>
                <w:highlight w:val="none"/>
              </w:rPr>
            </w:pPr>
            <w:r>
              <w:rPr>
                <w:rFonts w:hint="eastAsia" w:ascii="宋体" w:hAnsi="宋体" w:cs="宋体"/>
                <w:color w:val="auto"/>
                <w:szCs w:val="21"/>
                <w:highlight w:val="none"/>
              </w:rPr>
              <w:t>（30分）</w:t>
            </w:r>
          </w:p>
        </w:tc>
        <w:tc>
          <w:tcPr>
            <w:tcW w:w="8715"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138B20AF">
            <w:pPr>
              <w:widowControl/>
              <w:spacing w:line="440" w:lineRule="exact"/>
              <w:rPr>
                <w:rFonts w:ascii="宋体" w:hAnsi="宋体" w:cs="宋体"/>
                <w:color w:val="auto"/>
                <w:szCs w:val="21"/>
                <w:highlight w:val="none"/>
              </w:rPr>
            </w:pPr>
            <w:r>
              <w:rPr>
                <w:rFonts w:hint="eastAsia" w:ascii="宋体" w:hAnsi="宋体" w:cs="宋体"/>
                <w:color w:val="auto"/>
                <w:szCs w:val="21"/>
                <w:highlight w:val="none"/>
              </w:rPr>
              <w:t>采用低价优先法计算，以满足招标文件要求且投标报价最低的投标报价为评标基准价，其价格为满分30 分。其他投标人的价格分统一按照下列公式计算：投标报价得分＝（评标基准价/供应商所投标价）×30×100%。（保留两位小数）</w:t>
            </w:r>
          </w:p>
          <w:p w14:paraId="3372DB4B">
            <w:pPr>
              <w:spacing w:line="440" w:lineRule="exact"/>
              <w:rPr>
                <w:rFonts w:ascii="宋体" w:hAnsi="宋体" w:cs="宋体"/>
                <w:color w:val="auto"/>
                <w:szCs w:val="21"/>
                <w:highlight w:val="none"/>
              </w:rPr>
            </w:pPr>
            <w:r>
              <w:rPr>
                <w:rFonts w:hint="eastAsia" w:ascii="宋体" w:hAnsi="宋体" w:cs="宋体"/>
                <w:color w:val="auto"/>
                <w:szCs w:val="21"/>
                <w:highlight w:val="none"/>
              </w:rPr>
              <w:t>注：评标委员会认为投标人的报价明显低于其他通过符合性审查投标人的报价，有可能影响产品质量或者不能诚信履约的，且投标人不能在评标现场合理的时间内证明其报价合理性的，评标委员会有权将其作为无效投标处理。</w:t>
            </w:r>
          </w:p>
        </w:tc>
      </w:tr>
      <w:tr w14:paraId="7B06D31C">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1261"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06FE33D4">
            <w:pPr>
              <w:widowControl/>
              <w:adjustRightInd w:val="0"/>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需求响应</w:t>
            </w:r>
          </w:p>
          <w:p w14:paraId="42415978">
            <w:pPr>
              <w:widowControl/>
              <w:adjustRightInd w:val="0"/>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情况</w:t>
            </w:r>
          </w:p>
          <w:p w14:paraId="377664F1">
            <w:pPr>
              <w:widowControl/>
              <w:adjustRightInd w:val="0"/>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（30分）</w:t>
            </w:r>
          </w:p>
        </w:tc>
        <w:tc>
          <w:tcPr>
            <w:tcW w:w="8715"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23A6DEB0">
            <w:pPr>
              <w:spacing w:line="440" w:lineRule="exact"/>
              <w:rPr>
                <w:rFonts w:ascii="宋体" w:hAnsi="宋体" w:cs="宋体"/>
                <w:color w:val="auto"/>
                <w:szCs w:val="21"/>
                <w:highlight w:val="none"/>
              </w:rPr>
            </w:pPr>
            <w:r>
              <w:rPr>
                <w:rFonts w:hint="eastAsia" w:ascii="宋体" w:hAnsi="宋体" w:cs="宋体"/>
                <w:color w:val="auto"/>
                <w:szCs w:val="21"/>
                <w:highlight w:val="none"/>
              </w:rPr>
              <w:t>1、投标人必须按照采购需求中的技术参数要求进行逐条响应，评审委员会根据投标人投标产品的技术参数响应情况进行评分：所投产品技术参数完全响应招标文件要求的得30分；</w:t>
            </w:r>
          </w:p>
          <w:p w14:paraId="21DE929C">
            <w:pPr>
              <w:spacing w:line="440" w:lineRule="exact"/>
              <w:rPr>
                <w:rFonts w:ascii="宋体" w:hAnsi="宋体" w:cs="宋体"/>
                <w:color w:val="auto"/>
                <w:szCs w:val="21"/>
                <w:highlight w:val="none"/>
              </w:rPr>
            </w:pPr>
            <w:r>
              <w:rPr>
                <w:rFonts w:hint="eastAsia" w:ascii="宋体" w:hAnsi="宋体" w:cs="宋体"/>
                <w:color w:val="auto"/>
                <w:szCs w:val="21"/>
                <w:highlight w:val="none"/>
              </w:rPr>
              <w:t>2、★号参数为实质性参数，不响应的投标做废标处理；</w:t>
            </w:r>
          </w:p>
          <w:p w14:paraId="3DA65F62">
            <w:pPr>
              <w:spacing w:line="440" w:lineRule="exact"/>
              <w:rPr>
                <w:rFonts w:ascii="宋体" w:hAnsi="宋体" w:cs="宋体"/>
                <w:color w:val="auto"/>
                <w:szCs w:val="21"/>
                <w:highlight w:val="none"/>
              </w:rPr>
            </w:pPr>
            <w:r>
              <w:rPr>
                <w:rFonts w:hint="eastAsia" w:ascii="宋体" w:hAnsi="宋体" w:cs="宋体"/>
                <w:color w:val="auto"/>
                <w:szCs w:val="21"/>
                <w:highlight w:val="none"/>
              </w:rPr>
              <w:t>3、负偏离：▲参数负偏离每有一项扣3分;其他参数负偏离每有一项扣 1分，扣完为止（负偏离不得改变该产品的性能和使用，存在严重负偏离会影响产品质量性能的，经半数以上评委认定，本项不得分。）</w:t>
            </w:r>
          </w:p>
          <w:p w14:paraId="3D1C9CFE">
            <w:pPr>
              <w:spacing w:line="440" w:lineRule="exact"/>
              <w:rPr>
                <w:rFonts w:ascii="宋体" w:hAnsi="宋体" w:cs="宋体"/>
                <w:b/>
                <w:color w:val="auto"/>
                <w:szCs w:val="21"/>
                <w:highlight w:val="none"/>
              </w:rPr>
            </w:pPr>
            <w:r>
              <w:rPr>
                <w:rFonts w:hint="eastAsia" w:ascii="宋体" w:hAnsi="宋体" w:cs="宋体"/>
                <w:color w:val="auto"/>
                <w:szCs w:val="21"/>
                <w:highlight w:val="none"/>
              </w:rPr>
              <w:t>4、凡要求须提供检测报告、技术白皮书等证明材料，未提供证明材料的按负偏离处理。</w:t>
            </w:r>
          </w:p>
        </w:tc>
      </w:tr>
      <w:tr w14:paraId="3A1AC82B">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1261"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4531F08A">
            <w:pPr>
              <w:pStyle w:val="8"/>
              <w:spacing w:line="440" w:lineRule="exact"/>
              <w:jc w:val="center"/>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实施方案</w:t>
            </w:r>
          </w:p>
          <w:p w14:paraId="433EE196">
            <w:pPr>
              <w:pStyle w:val="8"/>
              <w:spacing w:line="440" w:lineRule="exact"/>
              <w:jc w:val="center"/>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（14分）</w:t>
            </w:r>
          </w:p>
        </w:tc>
        <w:tc>
          <w:tcPr>
            <w:tcW w:w="8715"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137436DE">
            <w:pPr>
              <w:spacing w:line="440" w:lineRule="exact"/>
              <w:rPr>
                <w:rFonts w:ascii="宋体" w:hAnsi="宋体" w:cs="宋体"/>
                <w:color w:val="auto"/>
                <w:szCs w:val="21"/>
                <w:highlight w:val="none"/>
              </w:rPr>
            </w:pPr>
            <w:r>
              <w:rPr>
                <w:rFonts w:hint="eastAsia" w:ascii="宋体" w:hAnsi="宋体" w:cs="宋体"/>
                <w:color w:val="auto"/>
                <w:szCs w:val="21"/>
                <w:highlight w:val="none"/>
              </w:rPr>
              <w:t>1.投标人根据项目具体的实施情况制定整体实施方案、装修安排、供货流程、具体进度安排、安装方案、</w:t>
            </w:r>
            <w:r>
              <w:rPr>
                <w:rFonts w:hint="eastAsia" w:ascii="宋体" w:hAnsi="宋体" w:cs="宋体"/>
                <w:bCs/>
                <w:color w:val="auto"/>
                <w:szCs w:val="21"/>
                <w:highlight w:val="none"/>
              </w:rPr>
              <w:t>调试方案</w:t>
            </w:r>
            <w:r>
              <w:rPr>
                <w:rFonts w:hint="eastAsia" w:ascii="宋体" w:hAnsi="宋体" w:cs="宋体"/>
                <w:bCs/>
                <w:color w:val="auto"/>
                <w:szCs w:val="21"/>
                <w:highlight w:val="none"/>
              </w:rPr>
              <w:t>、</w:t>
            </w:r>
            <w:r>
              <w:rPr>
                <w:rFonts w:hint="eastAsia" w:ascii="宋体" w:hAnsi="宋体" w:cs="宋体"/>
                <w:color w:val="auto"/>
                <w:szCs w:val="21"/>
                <w:highlight w:val="none"/>
              </w:rPr>
              <w:t xml:space="preserve">设备使用维护、验收方案（包括但不限于）： </w:t>
            </w:r>
          </w:p>
          <w:p w14:paraId="76F95778">
            <w:pPr>
              <w:spacing w:line="440" w:lineRule="exact"/>
              <w:rPr>
                <w:rFonts w:ascii="宋体" w:hAnsi="宋体" w:cs="宋体"/>
                <w:color w:val="auto"/>
                <w:szCs w:val="21"/>
                <w:highlight w:val="none"/>
              </w:rPr>
            </w:pPr>
            <w:r>
              <w:rPr>
                <w:rFonts w:hint="eastAsia" w:ascii="宋体" w:hAnsi="宋体" w:cs="宋体"/>
                <w:color w:val="auto"/>
                <w:szCs w:val="21"/>
                <w:highlight w:val="none"/>
              </w:rPr>
              <w:t xml:space="preserve">（1）方案完整全面，进度安排合理，内容详细完整，步骤有序，且方案可执行性高，能较有针对性解决问题，实施过程务实的和得7分； </w:t>
            </w:r>
          </w:p>
          <w:p w14:paraId="7294D759">
            <w:pPr>
              <w:spacing w:line="440" w:lineRule="exact"/>
              <w:rPr>
                <w:rFonts w:ascii="宋体" w:hAnsi="宋体" w:cs="宋体"/>
                <w:color w:val="auto"/>
                <w:szCs w:val="21"/>
                <w:highlight w:val="none"/>
              </w:rPr>
            </w:pPr>
            <w:r>
              <w:rPr>
                <w:rFonts w:hint="eastAsia" w:ascii="宋体" w:hAnsi="宋体" w:cs="宋体"/>
                <w:color w:val="auto"/>
                <w:szCs w:val="21"/>
                <w:highlight w:val="none"/>
              </w:rPr>
              <w:t xml:space="preserve">（2）方案基本完整，单项内容基本能够满足采购需要，可行性一般的得4分； </w:t>
            </w:r>
          </w:p>
          <w:p w14:paraId="63B30C4B">
            <w:pPr>
              <w:spacing w:line="440" w:lineRule="exact"/>
              <w:rPr>
                <w:rFonts w:ascii="宋体" w:hAnsi="宋体" w:cs="宋体"/>
                <w:color w:val="auto"/>
                <w:szCs w:val="21"/>
                <w:highlight w:val="none"/>
              </w:rPr>
            </w:pPr>
            <w:r>
              <w:rPr>
                <w:rFonts w:hint="eastAsia" w:ascii="宋体" w:hAnsi="宋体" w:cs="宋体"/>
                <w:color w:val="auto"/>
                <w:szCs w:val="21"/>
                <w:highlight w:val="none"/>
              </w:rPr>
              <w:t>（3）方案完整性、合理性、针对性、可行性有所欠缺，与采购人实际需求存在差距、可行性较差的得2分；</w:t>
            </w:r>
          </w:p>
          <w:p w14:paraId="3D0A0D9B">
            <w:pPr>
              <w:spacing w:line="440" w:lineRule="exact"/>
              <w:rPr>
                <w:rFonts w:ascii="宋体" w:hAnsi="宋体" w:cs="宋体"/>
                <w:color w:val="auto"/>
                <w:szCs w:val="21"/>
                <w:highlight w:val="none"/>
              </w:rPr>
            </w:pPr>
            <w:r>
              <w:rPr>
                <w:rFonts w:hint="eastAsia" w:ascii="宋体" w:hAnsi="宋体" w:cs="宋体"/>
                <w:color w:val="auto"/>
                <w:szCs w:val="21"/>
                <w:highlight w:val="none"/>
              </w:rPr>
              <w:t xml:space="preserve">（4）未提供不得分。 </w:t>
            </w:r>
          </w:p>
          <w:p w14:paraId="0DDEADA8">
            <w:pPr>
              <w:spacing w:line="440" w:lineRule="exact"/>
              <w:rPr>
                <w:rFonts w:ascii="宋体" w:hAnsi="宋体" w:cs="宋体"/>
                <w:color w:val="auto"/>
                <w:szCs w:val="21"/>
                <w:highlight w:val="none"/>
              </w:rPr>
            </w:pPr>
            <w:r>
              <w:rPr>
                <w:rFonts w:hint="eastAsia" w:ascii="宋体" w:hAnsi="宋体" w:cs="宋体"/>
                <w:color w:val="auto"/>
                <w:szCs w:val="21"/>
                <w:highlight w:val="none"/>
              </w:rPr>
              <w:t xml:space="preserve">2、安全保障措施、应急处理措施、重大故障处理、应急预案、投标人履约能力等。根据投标人提供的方案、能力进行比较评分： </w:t>
            </w:r>
          </w:p>
          <w:p w14:paraId="249405BF">
            <w:pPr>
              <w:spacing w:line="440" w:lineRule="exact"/>
              <w:rPr>
                <w:rFonts w:ascii="宋体" w:hAnsi="宋体" w:cs="宋体"/>
                <w:color w:val="auto"/>
                <w:szCs w:val="21"/>
                <w:highlight w:val="none"/>
              </w:rPr>
            </w:pPr>
            <w:r>
              <w:rPr>
                <w:rFonts w:hint="eastAsia" w:ascii="宋体" w:hAnsi="宋体" w:cs="宋体"/>
                <w:color w:val="auto"/>
                <w:szCs w:val="21"/>
                <w:highlight w:val="none"/>
              </w:rPr>
              <w:t xml:space="preserve">（1）各项内容详细完整，步骤有序，且方案整体简操作，能较有针对性提出解决建议，优于采购需求，实施过程务实的得7分； </w:t>
            </w:r>
          </w:p>
          <w:p w14:paraId="5F7B0A7E">
            <w:pPr>
              <w:spacing w:line="440" w:lineRule="exact"/>
              <w:rPr>
                <w:rFonts w:ascii="宋体" w:hAnsi="宋体" w:cs="宋体"/>
                <w:color w:val="auto"/>
                <w:szCs w:val="21"/>
                <w:highlight w:val="none"/>
              </w:rPr>
            </w:pPr>
            <w:r>
              <w:rPr>
                <w:rFonts w:hint="eastAsia" w:ascii="宋体" w:hAnsi="宋体" w:cs="宋体"/>
                <w:color w:val="auto"/>
                <w:szCs w:val="21"/>
                <w:highlight w:val="none"/>
              </w:rPr>
              <w:t>（2）各项内容基本能够满足采购需要，思路比较清晰、方案较合理、可行性一般的得4分；</w:t>
            </w:r>
          </w:p>
          <w:p w14:paraId="4769B365">
            <w:pPr>
              <w:spacing w:line="440" w:lineRule="exact"/>
              <w:rPr>
                <w:rFonts w:ascii="宋体" w:hAnsi="宋体" w:cs="宋体"/>
                <w:color w:val="auto"/>
                <w:szCs w:val="21"/>
                <w:highlight w:val="none"/>
              </w:rPr>
            </w:pPr>
            <w:r>
              <w:rPr>
                <w:rFonts w:hint="eastAsia" w:ascii="宋体" w:hAnsi="宋体" w:cs="宋体"/>
                <w:color w:val="auto"/>
                <w:szCs w:val="21"/>
                <w:highlight w:val="none"/>
              </w:rPr>
              <w:t xml:space="preserve">（3）各项内容完整但条理不清、方案思路及可行性较差的得2分； </w:t>
            </w:r>
          </w:p>
          <w:p w14:paraId="4601AFC3">
            <w:pPr>
              <w:spacing w:line="440" w:lineRule="exact"/>
              <w:rPr>
                <w:rFonts w:ascii="宋体" w:hAnsi="宋体" w:cs="宋体"/>
                <w:b/>
                <w:bCs/>
                <w:color w:val="auto"/>
                <w:szCs w:val="21"/>
                <w:highlight w:val="none"/>
              </w:rPr>
            </w:pPr>
            <w:r>
              <w:rPr>
                <w:rFonts w:hint="eastAsia" w:ascii="宋体" w:hAnsi="宋体" w:cs="宋体"/>
                <w:color w:val="auto"/>
                <w:szCs w:val="21"/>
                <w:highlight w:val="none"/>
              </w:rPr>
              <w:t>（4）未提供不得分。</w:t>
            </w:r>
          </w:p>
        </w:tc>
      </w:tr>
      <w:tr w14:paraId="08A8AB35">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1261"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14D539C0">
            <w:pPr>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业绩</w:t>
            </w:r>
          </w:p>
          <w:p w14:paraId="61E44DCA">
            <w:pPr>
              <w:spacing w:line="440" w:lineRule="exact"/>
              <w:jc w:val="center"/>
              <w:rPr>
                <w:rFonts w:ascii="宋体" w:hAnsi="宋体" w:cs="宋体"/>
                <w:bCs/>
                <w:color w:val="auto"/>
                <w:szCs w:val="21"/>
                <w:highlight w:val="none"/>
              </w:rPr>
            </w:pPr>
            <w:r>
              <w:rPr>
                <w:rFonts w:hint="eastAsia" w:ascii="宋体" w:hAnsi="宋体" w:cs="宋体"/>
                <w:bCs/>
                <w:color w:val="auto"/>
                <w:szCs w:val="21"/>
                <w:highlight w:val="none"/>
              </w:rPr>
              <w:t>（6分）</w:t>
            </w:r>
          </w:p>
          <w:p w14:paraId="3207F9D8">
            <w:pPr>
              <w:widowControl/>
              <w:adjustRightInd w:val="0"/>
              <w:snapToGrid w:val="0"/>
              <w:spacing w:line="440" w:lineRule="exact"/>
              <w:rPr>
                <w:rFonts w:ascii="宋体" w:hAnsi="宋体" w:cs="宋体"/>
                <w:color w:val="auto"/>
                <w:szCs w:val="21"/>
                <w:highlight w:val="none"/>
              </w:rPr>
            </w:pPr>
          </w:p>
        </w:tc>
        <w:tc>
          <w:tcPr>
            <w:tcW w:w="8715"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64501A4D">
            <w:pPr>
              <w:spacing w:line="44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投标人或所投产品制造商2021年1月以来承担过类同业绩（合同以签订的时间为准），每提供 1个得1分，最多得6分。</w:t>
            </w:r>
          </w:p>
          <w:p w14:paraId="5372420C">
            <w:pPr>
              <w:spacing w:line="44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注：</w:t>
            </w:r>
            <w:r>
              <w:rPr>
                <w:rFonts w:hint="eastAsia" w:ascii="宋体" w:hAnsi="宋体" w:cs="宋体"/>
                <w:color w:val="auto"/>
                <w:szCs w:val="21"/>
                <w:highlight w:val="none"/>
                <w:lang w:bidi="ar"/>
              </w:rPr>
              <w:t>须同时提供供货合同、中标通知书（或财政部门指定的相关网站发布的中标公告截图），上述材料扫描件加盖投标人公章，否则不得分。</w:t>
            </w:r>
            <w:r>
              <w:rPr>
                <w:rFonts w:hint="eastAsia" w:ascii="宋体" w:hAnsi="宋体" w:cs="宋体"/>
                <w:bCs/>
                <w:color w:val="auto"/>
                <w:szCs w:val="21"/>
                <w:highlight w:val="none"/>
              </w:rPr>
              <w:t>有效业绩证明材料内容</w:t>
            </w:r>
            <w:r>
              <w:rPr>
                <w:rFonts w:hint="eastAsia" w:ascii="宋体" w:hAnsi="宋体" w:cs="宋体"/>
                <w:color w:val="auto"/>
                <w:szCs w:val="21"/>
                <w:highlight w:val="none"/>
              </w:rPr>
              <w:t>不得遮挡、涂改。投标人对合同真实性负责，提供虚假材料者按无效投标处理，并依法追究责任，</w:t>
            </w:r>
            <w:r>
              <w:rPr>
                <w:rFonts w:hint="eastAsia" w:ascii="宋体" w:hAnsi="宋体" w:cs="宋体"/>
                <w:b/>
                <w:bCs/>
                <w:color w:val="auto"/>
                <w:szCs w:val="21"/>
                <w:highlight w:val="none"/>
              </w:rPr>
              <w:t>合同</w:t>
            </w:r>
            <w:r>
              <w:rPr>
                <w:rFonts w:hint="eastAsia" w:ascii="宋体" w:hAnsi="宋体" w:cs="宋体"/>
                <w:b/>
                <w:color w:val="auto"/>
                <w:szCs w:val="21"/>
                <w:highlight w:val="none"/>
              </w:rPr>
              <w:t>原件备查，无原件不得分</w:t>
            </w:r>
            <w:r>
              <w:rPr>
                <w:rFonts w:hint="eastAsia" w:ascii="宋体" w:hAnsi="宋体" w:cs="宋体"/>
                <w:color w:val="auto"/>
                <w:szCs w:val="21"/>
                <w:highlight w:val="none"/>
              </w:rPr>
              <w:t>。</w:t>
            </w:r>
          </w:p>
        </w:tc>
      </w:tr>
      <w:tr w14:paraId="0192C29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261"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60DFC60B">
            <w:pPr>
              <w:widowControl/>
              <w:adjustRightInd w:val="0"/>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售后服务、培训和质量保证方案</w:t>
            </w:r>
          </w:p>
          <w:p w14:paraId="5CC2D8AB">
            <w:pPr>
              <w:widowControl/>
              <w:adjustRightInd w:val="0"/>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（20分）</w:t>
            </w:r>
          </w:p>
          <w:p w14:paraId="46B6B27E">
            <w:pPr>
              <w:widowControl/>
              <w:adjustRightInd w:val="0"/>
              <w:snapToGrid w:val="0"/>
              <w:spacing w:line="440" w:lineRule="exact"/>
              <w:jc w:val="center"/>
              <w:rPr>
                <w:rFonts w:ascii="宋体" w:hAnsi="宋体" w:cs="宋体"/>
                <w:color w:val="auto"/>
                <w:szCs w:val="21"/>
                <w:highlight w:val="none"/>
              </w:rPr>
            </w:pPr>
          </w:p>
        </w:tc>
        <w:tc>
          <w:tcPr>
            <w:tcW w:w="8715"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11324BC6">
            <w:pPr>
              <w:spacing w:line="440" w:lineRule="exact"/>
              <w:rPr>
                <w:rFonts w:ascii="宋体" w:hAnsi="宋体" w:cs="宋体"/>
                <w:b/>
                <w:color w:val="auto"/>
                <w:szCs w:val="21"/>
                <w:highlight w:val="none"/>
              </w:rPr>
            </w:pPr>
            <w:r>
              <w:rPr>
                <w:rFonts w:hint="eastAsia" w:ascii="宋体" w:hAnsi="宋体" w:cs="宋体"/>
                <w:b/>
                <w:color w:val="auto"/>
                <w:szCs w:val="21"/>
                <w:highlight w:val="none"/>
              </w:rPr>
              <w:t>1、本项目整体免费质保期3年，整体质保每增加一年得3分，最高得分6分。（提供承诺函原件并加盖投标人公章，格式自拟，不提供不得分）</w:t>
            </w:r>
          </w:p>
          <w:p w14:paraId="793DA317">
            <w:pPr>
              <w:spacing w:line="440" w:lineRule="exact"/>
              <w:rPr>
                <w:rFonts w:ascii="宋体" w:hAnsi="宋体" w:cs="宋体"/>
                <w:color w:val="auto"/>
                <w:szCs w:val="21"/>
                <w:highlight w:val="none"/>
              </w:rPr>
            </w:pPr>
            <w:r>
              <w:rPr>
                <w:rFonts w:hint="eastAsia" w:ascii="宋体" w:hAnsi="宋体" w:cs="宋体"/>
                <w:color w:val="auto"/>
                <w:szCs w:val="21"/>
                <w:highlight w:val="none"/>
              </w:rPr>
              <w:t>2、供应商应提供人员操作培训、产品应用培训、维修保养培训、以及相关科研教育等进阶培训、学习会议、其他形式培训等方案，根据投标人提供的方案进行比较评分：</w:t>
            </w:r>
          </w:p>
          <w:p w14:paraId="7CB69A98">
            <w:pPr>
              <w:spacing w:line="440" w:lineRule="exact"/>
              <w:rPr>
                <w:rFonts w:ascii="宋体" w:hAnsi="宋体" w:cs="宋体"/>
                <w:color w:val="auto"/>
                <w:szCs w:val="21"/>
                <w:highlight w:val="none"/>
              </w:rPr>
            </w:pPr>
            <w:r>
              <w:rPr>
                <w:rFonts w:hint="eastAsia" w:ascii="宋体" w:hAnsi="宋体" w:cs="宋体"/>
                <w:color w:val="auto"/>
                <w:szCs w:val="21"/>
                <w:highlight w:val="none"/>
              </w:rPr>
              <w:t>（1）方案完整详实、科学合理、具备针对性且切实可行、满足采购人实际需求，实施过程切合实际的得7分；</w:t>
            </w:r>
          </w:p>
          <w:p w14:paraId="731538B7">
            <w:pPr>
              <w:numPr>
                <w:ilvl w:val="0"/>
                <w:numId w:val="5"/>
              </w:numPr>
              <w:spacing w:line="440" w:lineRule="exact"/>
              <w:rPr>
                <w:rFonts w:ascii="宋体" w:hAnsi="宋体" w:cs="宋体"/>
                <w:color w:val="auto"/>
                <w:szCs w:val="21"/>
                <w:highlight w:val="none"/>
              </w:rPr>
            </w:pPr>
            <w:r>
              <w:rPr>
                <w:rFonts w:hint="eastAsia" w:ascii="宋体" w:hAnsi="宋体" w:cs="宋体"/>
                <w:color w:val="auto"/>
                <w:szCs w:val="21"/>
                <w:highlight w:val="none"/>
              </w:rPr>
              <w:t xml:space="preserve">内容基本能够满足采购需要，思路比较清晰、方案较合理、可行性一般的得4分； </w:t>
            </w:r>
          </w:p>
          <w:p w14:paraId="4010D818">
            <w:pPr>
              <w:numPr>
                <w:ilvl w:val="0"/>
                <w:numId w:val="5"/>
              </w:numPr>
              <w:spacing w:line="440" w:lineRule="exact"/>
              <w:rPr>
                <w:rFonts w:ascii="宋体" w:hAnsi="宋体" w:cs="宋体"/>
                <w:color w:val="auto"/>
                <w:szCs w:val="21"/>
                <w:highlight w:val="none"/>
              </w:rPr>
            </w:pPr>
            <w:r>
              <w:rPr>
                <w:rFonts w:hint="eastAsia" w:ascii="宋体" w:hAnsi="宋体" w:cs="宋体"/>
                <w:color w:val="auto"/>
                <w:szCs w:val="21"/>
                <w:highlight w:val="none"/>
              </w:rPr>
              <w:t>内容完整但条理不清晰、方案思路及可行性较差的得2分；</w:t>
            </w:r>
          </w:p>
          <w:p w14:paraId="35E9AA00">
            <w:pPr>
              <w:spacing w:line="440" w:lineRule="exact"/>
              <w:rPr>
                <w:rFonts w:ascii="宋体" w:hAnsi="宋体" w:cs="宋体"/>
                <w:color w:val="auto"/>
                <w:szCs w:val="21"/>
                <w:highlight w:val="none"/>
              </w:rPr>
            </w:pPr>
            <w:r>
              <w:rPr>
                <w:rFonts w:hint="eastAsia" w:ascii="宋体" w:hAnsi="宋体" w:cs="宋体"/>
                <w:color w:val="auto"/>
                <w:szCs w:val="21"/>
                <w:highlight w:val="none"/>
              </w:rPr>
              <w:t>（4）未提供不得分。</w:t>
            </w:r>
          </w:p>
          <w:p w14:paraId="31F3BA25">
            <w:pPr>
              <w:spacing w:line="440" w:lineRule="exact"/>
              <w:rPr>
                <w:rFonts w:ascii="宋体" w:hAnsi="宋体" w:cs="宋体"/>
                <w:color w:val="auto"/>
                <w:szCs w:val="21"/>
                <w:highlight w:val="none"/>
              </w:rPr>
            </w:pPr>
            <w:r>
              <w:rPr>
                <w:rFonts w:hint="eastAsia" w:ascii="宋体" w:hAnsi="宋体" w:cs="宋体"/>
                <w:color w:val="auto"/>
                <w:szCs w:val="21"/>
                <w:highlight w:val="none"/>
              </w:rPr>
              <w:t>3、质量保证方案（包括但不限于）：质保期内的承诺、质保期结束后技术支持、设备出现故障和缺陷后的解决方案和响应时间、质保期满后的相关服务、生产厂家的技术支持等内容。根据投标人提供的方案进行比较评分（提供厂家备件备品价格一览表和备件备品价格折扣，不提供不得分）：</w:t>
            </w:r>
          </w:p>
          <w:p w14:paraId="47E82682">
            <w:pPr>
              <w:numPr>
                <w:ilvl w:val="0"/>
                <w:numId w:val="6"/>
              </w:numPr>
              <w:spacing w:line="440" w:lineRule="exact"/>
              <w:rPr>
                <w:rFonts w:ascii="宋体" w:hAnsi="宋体" w:cs="宋体"/>
                <w:color w:val="auto"/>
                <w:szCs w:val="21"/>
                <w:highlight w:val="none"/>
              </w:rPr>
            </w:pPr>
            <w:r>
              <w:rPr>
                <w:rFonts w:hint="eastAsia" w:ascii="宋体" w:hAnsi="宋体" w:cs="宋体"/>
                <w:color w:val="auto"/>
                <w:szCs w:val="21"/>
                <w:highlight w:val="none"/>
              </w:rPr>
              <w:t>各项内容详细完整，步骤有序，且方案整体简操作，能较有针对性提出解决建议，优于采购需求，实施过程务实的得7分；</w:t>
            </w:r>
          </w:p>
          <w:p w14:paraId="7EF39FDC">
            <w:pPr>
              <w:numPr>
                <w:ilvl w:val="0"/>
                <w:numId w:val="6"/>
              </w:numPr>
              <w:spacing w:line="440" w:lineRule="exact"/>
              <w:rPr>
                <w:rFonts w:ascii="宋体" w:hAnsi="宋体" w:cs="宋体"/>
                <w:color w:val="auto"/>
                <w:szCs w:val="21"/>
                <w:highlight w:val="none"/>
              </w:rPr>
            </w:pPr>
            <w:r>
              <w:rPr>
                <w:rFonts w:hint="eastAsia" w:ascii="宋体" w:hAnsi="宋体" w:cs="宋体"/>
                <w:color w:val="auto"/>
                <w:szCs w:val="21"/>
                <w:highlight w:val="none"/>
              </w:rPr>
              <w:t>各项内容基本能够满足采购需要，思路比较清晰、方案较合理、可行性一般的得4分；</w:t>
            </w:r>
          </w:p>
          <w:p w14:paraId="36F1D404">
            <w:pPr>
              <w:numPr>
                <w:ilvl w:val="0"/>
                <w:numId w:val="6"/>
              </w:numPr>
              <w:spacing w:line="440" w:lineRule="exact"/>
              <w:rPr>
                <w:rFonts w:ascii="宋体" w:hAnsi="宋体" w:cs="宋体"/>
                <w:color w:val="auto"/>
                <w:szCs w:val="21"/>
                <w:highlight w:val="none"/>
              </w:rPr>
            </w:pPr>
            <w:r>
              <w:rPr>
                <w:rFonts w:hint="eastAsia" w:ascii="宋体" w:hAnsi="宋体" w:cs="宋体"/>
                <w:color w:val="auto"/>
                <w:szCs w:val="21"/>
                <w:highlight w:val="none"/>
              </w:rPr>
              <w:t>各项内容完整但条理不清、方案思路及可行性较差的得2分；</w:t>
            </w:r>
          </w:p>
          <w:p w14:paraId="4F621D3F">
            <w:pPr>
              <w:numPr>
                <w:ilvl w:val="0"/>
                <w:numId w:val="6"/>
              </w:numPr>
              <w:spacing w:line="440" w:lineRule="exact"/>
              <w:rPr>
                <w:rFonts w:ascii="宋体" w:hAnsi="宋体" w:cs="宋体"/>
                <w:color w:val="auto"/>
                <w:szCs w:val="21"/>
                <w:highlight w:val="none"/>
              </w:rPr>
            </w:pPr>
            <w:r>
              <w:rPr>
                <w:rFonts w:hint="eastAsia" w:ascii="宋体" w:hAnsi="宋体" w:cs="宋体"/>
                <w:color w:val="auto"/>
                <w:szCs w:val="21"/>
                <w:highlight w:val="none"/>
              </w:rPr>
              <w:t>未提供不得分。</w:t>
            </w:r>
          </w:p>
        </w:tc>
      </w:tr>
    </w:tbl>
    <w:p w14:paraId="5439990D">
      <w:pPr>
        <w:rPr>
          <w:rFonts w:ascii="宋体" w:hAnsi="宋体"/>
          <w:color w:val="auto"/>
          <w:highlight w:val="none"/>
        </w:rPr>
      </w:pPr>
    </w:p>
    <w:p w14:paraId="15CC63BF">
      <w:pPr>
        <w:pStyle w:val="2"/>
        <w:spacing w:line="360" w:lineRule="auto"/>
        <w:jc w:val="center"/>
        <w:rPr>
          <w:rFonts w:ascii="宋体" w:hAnsi="宋体"/>
          <w:color w:val="auto"/>
          <w:highlight w:val="none"/>
        </w:rPr>
        <w:sectPr>
          <w:pgSz w:w="11906" w:h="16838"/>
          <w:pgMar w:top="1440" w:right="1800" w:bottom="1440" w:left="1800" w:header="851" w:footer="992" w:gutter="0"/>
          <w:cols w:space="720" w:num="1"/>
          <w:docGrid w:type="lines" w:linePitch="312" w:charSpace="0"/>
        </w:sectPr>
      </w:pPr>
    </w:p>
    <w:p w14:paraId="5CF41978">
      <w:pPr>
        <w:pStyle w:val="2"/>
        <w:spacing w:line="360" w:lineRule="auto"/>
        <w:jc w:val="center"/>
        <w:rPr>
          <w:rFonts w:ascii="宋体" w:hAnsi="宋体"/>
          <w:color w:val="auto"/>
          <w:highlight w:val="none"/>
        </w:rPr>
      </w:pPr>
    </w:p>
    <w:p w14:paraId="7A113221">
      <w:pPr>
        <w:pStyle w:val="2"/>
        <w:spacing w:line="360" w:lineRule="auto"/>
        <w:jc w:val="center"/>
        <w:rPr>
          <w:rFonts w:ascii="宋体" w:hAnsi="宋体"/>
          <w:color w:val="auto"/>
          <w:highlight w:val="none"/>
        </w:rPr>
      </w:pPr>
      <w:r>
        <w:rPr>
          <w:rFonts w:hint="eastAsia" w:ascii="宋体" w:hAnsi="宋体"/>
          <w:color w:val="auto"/>
          <w:highlight w:val="none"/>
        </w:rPr>
        <w:t>第六章 投标文件格式</w:t>
      </w:r>
    </w:p>
    <w:p w14:paraId="3D7A02EF">
      <w:pPr>
        <w:spacing w:line="360" w:lineRule="auto"/>
        <w:rPr>
          <w:rFonts w:ascii="宋体" w:hAnsi="宋体"/>
          <w:bCs/>
          <w:color w:val="auto"/>
          <w:sz w:val="44"/>
          <w:highlight w:val="none"/>
        </w:rPr>
      </w:pPr>
    </w:p>
    <w:p w14:paraId="67D6ECAB">
      <w:pPr>
        <w:spacing w:line="360" w:lineRule="auto"/>
        <w:jc w:val="center"/>
        <w:rPr>
          <w:rFonts w:ascii="宋体" w:hAnsi="宋体"/>
          <w:b/>
          <w:color w:val="auto"/>
          <w:sz w:val="72"/>
          <w:highlight w:val="none"/>
        </w:rPr>
      </w:pPr>
      <w:r>
        <w:rPr>
          <w:rFonts w:hint="eastAsia" w:ascii="宋体" w:hAnsi="宋体"/>
          <w:b/>
          <w:color w:val="auto"/>
          <w:sz w:val="72"/>
          <w:highlight w:val="none"/>
        </w:rPr>
        <w:t>投  标  文  件</w:t>
      </w:r>
    </w:p>
    <w:p w14:paraId="558326F3">
      <w:pPr>
        <w:spacing w:line="360" w:lineRule="auto"/>
        <w:jc w:val="center"/>
        <w:rPr>
          <w:rFonts w:ascii="宋体" w:hAnsi="宋体"/>
          <w:b/>
          <w:color w:val="auto"/>
          <w:sz w:val="72"/>
          <w:highlight w:val="none"/>
        </w:rPr>
      </w:pPr>
    </w:p>
    <w:p w14:paraId="76C5D796">
      <w:pPr>
        <w:spacing w:line="360" w:lineRule="auto"/>
        <w:jc w:val="center"/>
        <w:rPr>
          <w:rFonts w:ascii="宋体" w:hAnsi="宋体"/>
          <w:b/>
          <w:color w:val="auto"/>
          <w:sz w:val="72"/>
          <w:highlight w:val="none"/>
        </w:rPr>
      </w:pPr>
    </w:p>
    <w:p w14:paraId="5216AC42">
      <w:pPr>
        <w:spacing w:line="360" w:lineRule="auto"/>
        <w:jc w:val="center"/>
        <w:rPr>
          <w:rFonts w:ascii="宋体" w:hAnsi="宋体"/>
          <w:b/>
          <w:color w:val="auto"/>
          <w:sz w:val="36"/>
          <w:highlight w:val="none"/>
        </w:rPr>
      </w:pPr>
    </w:p>
    <w:p w14:paraId="103AC72A">
      <w:pPr>
        <w:spacing w:line="360" w:lineRule="auto"/>
        <w:jc w:val="center"/>
        <w:rPr>
          <w:rFonts w:ascii="宋体" w:hAnsi="宋体"/>
          <w:b/>
          <w:color w:val="auto"/>
          <w:sz w:val="36"/>
          <w:highlight w:val="none"/>
        </w:rPr>
      </w:pPr>
    </w:p>
    <w:p w14:paraId="37EA032D">
      <w:pPr>
        <w:spacing w:line="360" w:lineRule="auto"/>
        <w:jc w:val="center"/>
        <w:rPr>
          <w:rFonts w:ascii="宋体" w:hAnsi="宋体"/>
          <w:b/>
          <w:color w:val="auto"/>
          <w:sz w:val="36"/>
          <w:highlight w:val="none"/>
        </w:rPr>
      </w:pPr>
    </w:p>
    <w:p w14:paraId="357994EC">
      <w:pPr>
        <w:spacing w:line="360" w:lineRule="auto"/>
        <w:jc w:val="center"/>
        <w:rPr>
          <w:rFonts w:ascii="宋体" w:hAnsi="宋体"/>
          <w:b/>
          <w:color w:val="auto"/>
          <w:sz w:val="36"/>
          <w:highlight w:val="none"/>
        </w:rPr>
      </w:pPr>
    </w:p>
    <w:p w14:paraId="4789DAD1">
      <w:pPr>
        <w:spacing w:line="360" w:lineRule="auto"/>
        <w:rPr>
          <w:rFonts w:ascii="宋体" w:hAnsi="宋体"/>
          <w:b/>
          <w:color w:val="auto"/>
          <w:sz w:val="36"/>
          <w:highlight w:val="none"/>
        </w:rPr>
      </w:pPr>
    </w:p>
    <w:p w14:paraId="2385EA3C">
      <w:pPr>
        <w:spacing w:line="360" w:lineRule="auto"/>
        <w:jc w:val="center"/>
        <w:rPr>
          <w:rFonts w:ascii="宋体" w:hAnsi="宋体"/>
          <w:b/>
          <w:color w:val="auto"/>
          <w:sz w:val="36"/>
          <w:highlight w:val="none"/>
        </w:rPr>
      </w:pPr>
    </w:p>
    <w:p w14:paraId="2A0A243E">
      <w:pPr>
        <w:spacing w:line="360" w:lineRule="auto"/>
        <w:ind w:firstLine="1084" w:firstLineChars="300"/>
        <w:rPr>
          <w:rFonts w:ascii="宋体" w:hAnsi="宋体"/>
          <w:b/>
          <w:color w:val="auto"/>
          <w:sz w:val="36"/>
          <w:highlight w:val="none"/>
        </w:rPr>
      </w:pPr>
      <w:r>
        <w:rPr>
          <w:rFonts w:hint="eastAsia" w:ascii="宋体" w:hAnsi="宋体"/>
          <w:b/>
          <w:color w:val="auto"/>
          <w:sz w:val="36"/>
          <w:highlight w:val="none"/>
        </w:rPr>
        <w:t>项 目 名 称：</w:t>
      </w:r>
    </w:p>
    <w:p w14:paraId="37A83565">
      <w:pPr>
        <w:spacing w:line="360" w:lineRule="auto"/>
        <w:ind w:firstLine="1084" w:firstLineChars="300"/>
        <w:rPr>
          <w:rFonts w:ascii="宋体" w:hAnsi="宋体"/>
          <w:b/>
          <w:color w:val="auto"/>
          <w:sz w:val="36"/>
          <w:highlight w:val="none"/>
          <w:u w:val="single"/>
        </w:rPr>
      </w:pPr>
      <w:r>
        <w:rPr>
          <w:rFonts w:hint="eastAsia" w:ascii="宋体" w:hAnsi="宋体"/>
          <w:b/>
          <w:color w:val="auto"/>
          <w:sz w:val="36"/>
          <w:highlight w:val="none"/>
        </w:rPr>
        <w:t>招 标 编 号：</w:t>
      </w:r>
    </w:p>
    <w:p w14:paraId="3DD22F1B">
      <w:pPr>
        <w:spacing w:line="360" w:lineRule="auto"/>
        <w:rPr>
          <w:rFonts w:ascii="宋体" w:hAnsi="宋体"/>
          <w:b/>
          <w:color w:val="auto"/>
          <w:sz w:val="36"/>
          <w:highlight w:val="none"/>
          <w:u w:val="single"/>
        </w:rPr>
      </w:pPr>
      <w:r>
        <w:rPr>
          <w:rFonts w:hint="eastAsia" w:ascii="宋体" w:hAnsi="宋体"/>
          <w:b/>
          <w:color w:val="auto"/>
          <w:sz w:val="36"/>
          <w:highlight w:val="none"/>
        </w:rPr>
        <w:t xml:space="preserve">      投标人名称 ：</w:t>
      </w:r>
    </w:p>
    <w:p w14:paraId="0D53E560">
      <w:pPr>
        <w:spacing w:line="360" w:lineRule="auto"/>
        <w:rPr>
          <w:rFonts w:ascii="宋体" w:hAnsi="宋体"/>
          <w:b/>
          <w:color w:val="auto"/>
          <w:sz w:val="36"/>
          <w:highlight w:val="none"/>
          <w:u w:val="single"/>
        </w:rPr>
      </w:pPr>
      <w:r>
        <w:rPr>
          <w:rFonts w:hint="eastAsia" w:ascii="宋体" w:hAnsi="宋体"/>
          <w:b/>
          <w:color w:val="auto"/>
          <w:sz w:val="36"/>
          <w:highlight w:val="none"/>
        </w:rPr>
        <w:t xml:space="preserve">      日      期 ：</w:t>
      </w:r>
    </w:p>
    <w:p w14:paraId="2DF67FCF">
      <w:pPr>
        <w:spacing w:line="360" w:lineRule="auto"/>
        <w:ind w:firstLine="1084" w:firstLineChars="300"/>
        <w:rPr>
          <w:rFonts w:ascii="宋体" w:hAnsi="宋体"/>
          <w:b/>
          <w:color w:val="auto"/>
          <w:sz w:val="36"/>
          <w:highlight w:val="none"/>
        </w:rPr>
      </w:pPr>
      <w:r>
        <w:rPr>
          <w:rFonts w:hint="eastAsia" w:ascii="宋体" w:hAnsi="宋体"/>
          <w:b/>
          <w:color w:val="auto"/>
          <w:sz w:val="36"/>
          <w:highlight w:val="none"/>
        </w:rPr>
        <w:t>投  标  人：（公章）</w:t>
      </w:r>
    </w:p>
    <w:p w14:paraId="31BCB8F6">
      <w:pPr>
        <w:spacing w:line="360" w:lineRule="auto"/>
        <w:jc w:val="center"/>
        <w:rPr>
          <w:rFonts w:ascii="宋体" w:hAnsi="宋体"/>
          <w:b/>
          <w:bCs/>
          <w:color w:val="auto"/>
          <w:sz w:val="32"/>
          <w:szCs w:val="32"/>
          <w:highlight w:val="none"/>
        </w:rPr>
      </w:pPr>
    </w:p>
    <w:p w14:paraId="0897E551">
      <w:pPr>
        <w:spacing w:line="360" w:lineRule="auto"/>
        <w:jc w:val="center"/>
        <w:rPr>
          <w:rFonts w:ascii="宋体" w:hAnsi="宋体"/>
          <w:b/>
          <w:bCs/>
          <w:color w:val="auto"/>
          <w:sz w:val="32"/>
          <w:szCs w:val="32"/>
          <w:highlight w:val="none"/>
        </w:rPr>
      </w:pPr>
    </w:p>
    <w:p w14:paraId="27858555">
      <w:pPr>
        <w:spacing w:line="360" w:lineRule="auto"/>
        <w:rPr>
          <w:rFonts w:ascii="宋体" w:hAnsi="宋体"/>
          <w:b/>
          <w:bCs/>
          <w:color w:val="auto"/>
          <w:sz w:val="32"/>
          <w:szCs w:val="32"/>
          <w:highlight w:val="none"/>
        </w:rPr>
        <w:sectPr>
          <w:pgSz w:w="11906" w:h="16838"/>
          <w:pgMar w:top="1440" w:right="1800" w:bottom="1440" w:left="1800" w:header="851" w:footer="992" w:gutter="0"/>
          <w:cols w:space="720" w:num="1"/>
          <w:docGrid w:type="lines" w:linePitch="312" w:charSpace="0"/>
        </w:sectPr>
      </w:pPr>
    </w:p>
    <w:p w14:paraId="0D2B3939">
      <w:pPr>
        <w:spacing w:line="360" w:lineRule="auto"/>
        <w:jc w:val="center"/>
        <w:rPr>
          <w:rFonts w:ascii="宋体" w:hAnsi="宋体"/>
          <w:b/>
          <w:bCs/>
          <w:color w:val="auto"/>
          <w:sz w:val="32"/>
          <w:szCs w:val="32"/>
          <w:highlight w:val="none"/>
        </w:rPr>
      </w:pPr>
      <w:r>
        <w:rPr>
          <w:rFonts w:hint="eastAsia" w:ascii="宋体" w:hAnsi="宋体"/>
          <w:b/>
          <w:bCs/>
          <w:color w:val="auto"/>
          <w:sz w:val="32"/>
          <w:szCs w:val="32"/>
          <w:highlight w:val="none"/>
        </w:rPr>
        <w:t>投标主要文件目录</w:t>
      </w:r>
    </w:p>
    <w:p w14:paraId="5C5B485F">
      <w:pPr>
        <w:spacing w:line="360" w:lineRule="auto"/>
        <w:jc w:val="center"/>
        <w:rPr>
          <w:rFonts w:ascii="宋体" w:hAnsi="宋体"/>
          <w:b/>
          <w:bCs/>
          <w:color w:val="auto"/>
          <w:sz w:val="32"/>
          <w:szCs w:val="32"/>
          <w:highlight w:val="none"/>
        </w:rPr>
      </w:pPr>
    </w:p>
    <w:p w14:paraId="2192DA7E">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一、资格审查响应对照表</w:t>
      </w:r>
    </w:p>
    <w:p w14:paraId="72DEE8B2">
      <w:pPr>
        <w:spacing w:line="360" w:lineRule="auto"/>
        <w:ind w:left="480"/>
        <w:rPr>
          <w:rFonts w:ascii="宋体" w:hAnsi="宋体"/>
          <w:color w:val="auto"/>
          <w:sz w:val="24"/>
          <w:highlight w:val="none"/>
        </w:rPr>
      </w:pPr>
      <w:r>
        <w:rPr>
          <w:rFonts w:hint="eastAsia" w:ascii="宋体" w:hAnsi="宋体"/>
          <w:color w:val="auto"/>
          <w:sz w:val="24"/>
          <w:highlight w:val="none"/>
        </w:rPr>
        <w:t>二、符合性审查响应对照表</w:t>
      </w:r>
    </w:p>
    <w:p w14:paraId="2CA4913C">
      <w:pPr>
        <w:spacing w:line="360" w:lineRule="auto"/>
        <w:ind w:left="480"/>
        <w:rPr>
          <w:rFonts w:ascii="宋体" w:hAnsi="宋体"/>
          <w:color w:val="auto"/>
          <w:sz w:val="24"/>
          <w:highlight w:val="none"/>
        </w:rPr>
      </w:pPr>
      <w:r>
        <w:rPr>
          <w:rFonts w:hint="eastAsia" w:ascii="宋体" w:hAnsi="宋体"/>
          <w:color w:val="auto"/>
          <w:sz w:val="24"/>
          <w:highlight w:val="none"/>
        </w:rPr>
        <w:t>三、非实质性响应对照表</w:t>
      </w:r>
    </w:p>
    <w:p w14:paraId="5DAD77EC">
      <w:pPr>
        <w:spacing w:line="360" w:lineRule="auto"/>
        <w:ind w:firstLine="480" w:firstLineChars="200"/>
        <w:rPr>
          <w:rFonts w:ascii="宋体" w:hAnsi="宋体"/>
          <w:b/>
          <w:bCs/>
          <w:color w:val="auto"/>
          <w:sz w:val="24"/>
          <w:highlight w:val="none"/>
        </w:rPr>
      </w:pPr>
      <w:r>
        <w:rPr>
          <w:rFonts w:hint="eastAsia" w:ascii="宋体" w:hAnsi="宋体"/>
          <w:color w:val="auto"/>
          <w:sz w:val="24"/>
          <w:highlight w:val="none"/>
        </w:rPr>
        <w:t>四</w:t>
      </w:r>
      <w:r>
        <w:rPr>
          <w:rFonts w:hint="eastAsia" w:ascii="宋体" w:hAnsi="宋体"/>
          <w:b/>
          <w:bCs/>
          <w:color w:val="auto"/>
          <w:sz w:val="24"/>
          <w:highlight w:val="none"/>
        </w:rPr>
        <w:t>、</w:t>
      </w:r>
      <w:r>
        <w:rPr>
          <w:rFonts w:hint="eastAsia" w:ascii="宋体" w:hAnsi="宋体"/>
          <w:i/>
          <w:color w:val="auto"/>
          <w:sz w:val="24"/>
          <w:highlight w:val="none"/>
          <w:u w:val="single"/>
        </w:rPr>
        <w:t>开标一览表</w:t>
      </w:r>
    </w:p>
    <w:p w14:paraId="25EDB99E">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五、投标配置与分项报价表</w:t>
      </w:r>
    </w:p>
    <w:p w14:paraId="4118156D">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六</w:t>
      </w:r>
      <w:r>
        <w:rPr>
          <w:rFonts w:hint="eastAsia" w:ascii="宋体" w:hAnsi="宋体" w:cs="Courier New"/>
          <w:color w:val="auto"/>
          <w:sz w:val="24"/>
          <w:szCs w:val="24"/>
          <w:highlight w:val="none"/>
        </w:rPr>
        <w:t>、</w:t>
      </w:r>
      <w:r>
        <w:rPr>
          <w:rFonts w:hint="eastAsia" w:ascii="宋体" w:hAnsi="宋体"/>
          <w:color w:val="auto"/>
          <w:sz w:val="24"/>
          <w:szCs w:val="24"/>
          <w:highlight w:val="none"/>
        </w:rPr>
        <w:t>技术参数响应及偏离表</w:t>
      </w:r>
    </w:p>
    <w:p w14:paraId="69A8FDDE">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七、商务条款响应及偏离表</w:t>
      </w:r>
    </w:p>
    <w:p w14:paraId="58858211">
      <w:pPr>
        <w:spacing w:line="360" w:lineRule="auto"/>
        <w:ind w:firstLine="480" w:firstLineChars="200"/>
        <w:rPr>
          <w:rFonts w:ascii="宋体" w:hAnsi="宋体"/>
          <w:color w:val="auto"/>
          <w:sz w:val="36"/>
          <w:szCs w:val="36"/>
          <w:highlight w:val="none"/>
        </w:rPr>
      </w:pPr>
      <w:r>
        <w:rPr>
          <w:rFonts w:hint="eastAsia" w:ascii="宋体" w:hAnsi="宋体"/>
          <w:color w:val="auto"/>
          <w:sz w:val="24"/>
          <w:highlight w:val="none"/>
        </w:rPr>
        <w:t>八、其他 （投标人认为有必要提供的声明和文件，如有自拟并自行添加）</w:t>
      </w:r>
    </w:p>
    <w:p w14:paraId="0BBB4A98">
      <w:pPr>
        <w:adjustRightInd w:val="0"/>
        <w:spacing w:line="360" w:lineRule="auto"/>
        <w:contextualSpacing/>
        <w:jc w:val="center"/>
        <w:rPr>
          <w:rFonts w:ascii="宋体" w:hAnsi="宋体"/>
          <w:b/>
          <w:color w:val="auto"/>
          <w:sz w:val="72"/>
          <w:highlight w:val="none"/>
        </w:rPr>
      </w:pPr>
    </w:p>
    <w:p w14:paraId="43423E7B">
      <w:pPr>
        <w:adjustRightInd w:val="0"/>
        <w:spacing w:line="360" w:lineRule="auto"/>
        <w:contextualSpacing/>
        <w:jc w:val="center"/>
        <w:rPr>
          <w:rFonts w:ascii="宋体" w:hAnsi="宋体"/>
          <w:b/>
          <w:color w:val="auto"/>
          <w:sz w:val="72"/>
          <w:highlight w:val="none"/>
        </w:rPr>
      </w:pPr>
    </w:p>
    <w:p w14:paraId="7794188C">
      <w:pPr>
        <w:adjustRightInd w:val="0"/>
        <w:spacing w:line="360" w:lineRule="auto"/>
        <w:contextualSpacing/>
        <w:jc w:val="center"/>
        <w:rPr>
          <w:rFonts w:ascii="宋体" w:hAnsi="宋体"/>
          <w:b/>
          <w:color w:val="auto"/>
          <w:sz w:val="72"/>
          <w:highlight w:val="none"/>
        </w:rPr>
      </w:pPr>
    </w:p>
    <w:p w14:paraId="393AE66E">
      <w:pPr>
        <w:adjustRightInd w:val="0"/>
        <w:spacing w:line="360" w:lineRule="auto"/>
        <w:contextualSpacing/>
        <w:rPr>
          <w:rFonts w:ascii="宋体" w:hAnsi="宋体"/>
          <w:b/>
          <w:color w:val="auto"/>
          <w:sz w:val="36"/>
          <w:highlight w:val="none"/>
        </w:rPr>
      </w:pPr>
    </w:p>
    <w:p w14:paraId="2178E9AA">
      <w:pPr>
        <w:adjustRightInd w:val="0"/>
        <w:spacing w:line="360" w:lineRule="auto"/>
        <w:contextualSpacing/>
        <w:rPr>
          <w:rFonts w:ascii="宋体" w:hAnsi="宋体"/>
          <w:b/>
          <w:color w:val="auto"/>
          <w:sz w:val="36"/>
          <w:highlight w:val="none"/>
        </w:rPr>
      </w:pPr>
    </w:p>
    <w:p w14:paraId="00308BA2">
      <w:pPr>
        <w:adjustRightInd w:val="0"/>
        <w:spacing w:line="360" w:lineRule="auto"/>
        <w:contextualSpacing/>
        <w:rPr>
          <w:rFonts w:ascii="宋体" w:hAnsi="宋体"/>
          <w:b/>
          <w:color w:val="auto"/>
          <w:sz w:val="36"/>
          <w:highlight w:val="none"/>
        </w:rPr>
      </w:pPr>
    </w:p>
    <w:p w14:paraId="76947A20">
      <w:pPr>
        <w:adjustRightInd w:val="0"/>
        <w:spacing w:line="360" w:lineRule="auto"/>
        <w:contextualSpacing/>
        <w:rPr>
          <w:rFonts w:ascii="宋体" w:hAnsi="宋体"/>
          <w:b/>
          <w:color w:val="auto"/>
          <w:sz w:val="36"/>
          <w:highlight w:val="none"/>
        </w:rPr>
      </w:pPr>
    </w:p>
    <w:p w14:paraId="43116107">
      <w:pPr>
        <w:adjustRightInd w:val="0"/>
        <w:spacing w:line="360" w:lineRule="auto"/>
        <w:contextualSpacing/>
        <w:rPr>
          <w:rFonts w:ascii="宋体" w:hAnsi="宋体"/>
          <w:b/>
          <w:color w:val="auto"/>
          <w:sz w:val="36"/>
          <w:highlight w:val="none"/>
        </w:rPr>
      </w:pPr>
    </w:p>
    <w:p w14:paraId="0C10CE7A">
      <w:pPr>
        <w:adjustRightInd w:val="0"/>
        <w:spacing w:line="360" w:lineRule="auto"/>
        <w:contextualSpacing/>
        <w:rPr>
          <w:rFonts w:ascii="宋体" w:hAnsi="宋体"/>
          <w:b/>
          <w:color w:val="auto"/>
          <w:sz w:val="36"/>
          <w:highlight w:val="none"/>
        </w:rPr>
      </w:pPr>
    </w:p>
    <w:p w14:paraId="4125E76C">
      <w:pPr>
        <w:adjustRightInd w:val="0"/>
        <w:spacing w:line="360" w:lineRule="auto"/>
        <w:contextualSpacing/>
        <w:rPr>
          <w:rFonts w:ascii="宋体" w:hAnsi="宋体"/>
          <w:b/>
          <w:color w:val="auto"/>
          <w:sz w:val="36"/>
          <w:highlight w:val="none"/>
        </w:rPr>
      </w:pPr>
    </w:p>
    <w:p w14:paraId="0AD2CFEA">
      <w:pPr>
        <w:spacing w:line="360" w:lineRule="auto"/>
        <w:rPr>
          <w:rFonts w:ascii="宋体" w:hAnsi="宋体"/>
          <w:b/>
          <w:color w:val="auto"/>
          <w:sz w:val="32"/>
          <w:szCs w:val="32"/>
          <w:highlight w:val="none"/>
        </w:rPr>
      </w:pPr>
    </w:p>
    <w:p w14:paraId="533AB3C4">
      <w:pPr>
        <w:pStyle w:val="3"/>
        <w:spacing w:line="360" w:lineRule="auto"/>
        <w:rPr>
          <w:rFonts w:ascii="宋体" w:hAnsi="宋体" w:eastAsia="宋体"/>
          <w:b w:val="0"/>
          <w:color w:val="auto"/>
          <w:sz w:val="32"/>
          <w:szCs w:val="32"/>
          <w:highlight w:val="none"/>
        </w:rPr>
      </w:pPr>
      <w:r>
        <w:rPr>
          <w:rFonts w:hint="eastAsia" w:ascii="宋体" w:hAnsi="宋体" w:eastAsia="宋体"/>
          <w:color w:val="auto"/>
          <w:sz w:val="32"/>
          <w:szCs w:val="32"/>
          <w:highlight w:val="none"/>
        </w:rPr>
        <w:br w:type="page"/>
      </w:r>
      <w:r>
        <w:rPr>
          <w:rFonts w:hint="eastAsia" w:ascii="宋体" w:hAnsi="宋体" w:eastAsia="宋体"/>
          <w:color w:val="auto"/>
          <w:sz w:val="32"/>
          <w:highlight w:val="none"/>
        </w:rPr>
        <w:t>一、资格审查响应对照表</w:t>
      </w:r>
    </w:p>
    <w:tbl>
      <w:tblPr>
        <w:tblStyle w:val="21"/>
        <w:tblW w:w="825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5447"/>
        <w:gridCol w:w="2158"/>
      </w:tblGrid>
      <w:tr w14:paraId="36117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646" w:type="dxa"/>
            <w:vAlign w:val="center"/>
          </w:tcPr>
          <w:p w14:paraId="132958F3">
            <w:pPr>
              <w:snapToGrid w:val="0"/>
              <w:spacing w:line="360" w:lineRule="auto"/>
              <w:jc w:val="center"/>
              <w:rPr>
                <w:rFonts w:ascii="宋体" w:hAnsi="宋体"/>
                <w:b/>
                <w:color w:val="auto"/>
                <w:szCs w:val="21"/>
                <w:highlight w:val="none"/>
              </w:rPr>
            </w:pPr>
            <w:r>
              <w:rPr>
                <w:rFonts w:hint="eastAsia" w:ascii="宋体" w:hAnsi="宋体"/>
                <w:b/>
                <w:color w:val="auto"/>
                <w:szCs w:val="21"/>
                <w:highlight w:val="none"/>
              </w:rPr>
              <w:t>序号</w:t>
            </w:r>
          </w:p>
        </w:tc>
        <w:tc>
          <w:tcPr>
            <w:tcW w:w="5447" w:type="dxa"/>
            <w:vAlign w:val="center"/>
          </w:tcPr>
          <w:p w14:paraId="56B69E7F">
            <w:pPr>
              <w:snapToGrid w:val="0"/>
              <w:spacing w:line="360" w:lineRule="auto"/>
              <w:jc w:val="center"/>
              <w:rPr>
                <w:rFonts w:ascii="宋体" w:hAnsi="宋体"/>
                <w:b/>
                <w:color w:val="auto"/>
                <w:szCs w:val="21"/>
                <w:highlight w:val="none"/>
              </w:rPr>
            </w:pPr>
            <w:r>
              <w:rPr>
                <w:rFonts w:hint="eastAsia" w:ascii="宋体" w:hAnsi="宋体"/>
                <w:b/>
                <w:color w:val="auto"/>
                <w:szCs w:val="21"/>
                <w:highlight w:val="none"/>
              </w:rPr>
              <w:t>资格审查响应内容</w:t>
            </w:r>
          </w:p>
        </w:tc>
        <w:tc>
          <w:tcPr>
            <w:tcW w:w="2158" w:type="dxa"/>
            <w:vAlign w:val="center"/>
          </w:tcPr>
          <w:p w14:paraId="29FD63A6">
            <w:pPr>
              <w:snapToGrid w:val="0"/>
              <w:spacing w:line="360" w:lineRule="auto"/>
              <w:jc w:val="center"/>
              <w:rPr>
                <w:rFonts w:ascii="宋体" w:hAnsi="宋体"/>
                <w:b/>
                <w:color w:val="auto"/>
                <w:szCs w:val="21"/>
                <w:highlight w:val="none"/>
              </w:rPr>
            </w:pPr>
            <w:r>
              <w:rPr>
                <w:rFonts w:hint="eastAsia" w:ascii="宋体" w:hAnsi="宋体"/>
                <w:b/>
                <w:color w:val="auto"/>
                <w:szCs w:val="21"/>
                <w:highlight w:val="none"/>
              </w:rPr>
              <w:t>是否响应</w:t>
            </w:r>
          </w:p>
          <w:p w14:paraId="4E368E06">
            <w:pPr>
              <w:snapToGrid w:val="0"/>
              <w:spacing w:line="360" w:lineRule="auto"/>
              <w:jc w:val="center"/>
              <w:rPr>
                <w:rFonts w:ascii="宋体" w:hAnsi="宋体"/>
                <w:b/>
                <w:color w:val="auto"/>
                <w:szCs w:val="21"/>
                <w:highlight w:val="none"/>
              </w:rPr>
            </w:pPr>
            <w:r>
              <w:rPr>
                <w:rFonts w:hint="eastAsia" w:ascii="宋体" w:hAnsi="宋体"/>
                <w:b/>
                <w:color w:val="auto"/>
                <w:szCs w:val="21"/>
                <w:highlight w:val="none"/>
              </w:rPr>
              <w:t>（填是或者否）</w:t>
            </w:r>
          </w:p>
        </w:tc>
      </w:tr>
      <w:tr w14:paraId="248F6A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trPr>
        <w:tc>
          <w:tcPr>
            <w:tcW w:w="8251" w:type="dxa"/>
            <w:gridSpan w:val="3"/>
            <w:vAlign w:val="center"/>
          </w:tcPr>
          <w:p w14:paraId="54370BE3">
            <w:pPr>
              <w:spacing w:line="360" w:lineRule="auto"/>
              <w:rPr>
                <w:rFonts w:ascii="宋体" w:hAnsi="宋体"/>
                <w:b/>
                <w:color w:val="auto"/>
                <w:szCs w:val="21"/>
                <w:highlight w:val="none"/>
              </w:rPr>
            </w:pPr>
            <w:r>
              <w:rPr>
                <w:rFonts w:hint="eastAsia" w:ascii="宋体" w:hAnsi="宋体"/>
                <w:b/>
                <w:color w:val="auto"/>
                <w:szCs w:val="21"/>
                <w:highlight w:val="none"/>
              </w:rPr>
              <w:t>通用资格条件</w:t>
            </w:r>
          </w:p>
        </w:tc>
      </w:tr>
      <w:tr w14:paraId="1C6FC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rPr>
        <w:tc>
          <w:tcPr>
            <w:tcW w:w="646" w:type="dxa"/>
            <w:vAlign w:val="center"/>
          </w:tcPr>
          <w:p w14:paraId="5EC700C7">
            <w:pPr>
              <w:spacing w:line="360" w:lineRule="auto"/>
              <w:jc w:val="center"/>
              <w:rPr>
                <w:rFonts w:ascii="宋体" w:hAnsi="宋体"/>
                <w:b/>
                <w:color w:val="auto"/>
                <w:szCs w:val="21"/>
                <w:highlight w:val="none"/>
              </w:rPr>
            </w:pPr>
            <w:r>
              <w:rPr>
                <w:rFonts w:hint="eastAsia" w:ascii="宋体" w:hAnsi="宋体"/>
                <w:color w:val="auto"/>
                <w:szCs w:val="21"/>
                <w:highlight w:val="none"/>
              </w:rPr>
              <w:t>1</w:t>
            </w:r>
          </w:p>
        </w:tc>
        <w:tc>
          <w:tcPr>
            <w:tcW w:w="5447" w:type="dxa"/>
            <w:vAlign w:val="center"/>
          </w:tcPr>
          <w:p w14:paraId="7C5AEBC2">
            <w:pPr>
              <w:spacing w:line="360" w:lineRule="auto"/>
              <w:rPr>
                <w:rFonts w:ascii="宋体" w:hAnsi="宋体"/>
                <w:iCs/>
                <w:color w:val="auto"/>
                <w:szCs w:val="21"/>
                <w:highlight w:val="none"/>
              </w:rPr>
            </w:pPr>
            <w:r>
              <w:rPr>
                <w:rFonts w:hint="eastAsia" w:ascii="宋体" w:hAnsi="宋体" w:cs="宋体"/>
                <w:color w:val="auto"/>
                <w:szCs w:val="21"/>
                <w:highlight w:val="none"/>
              </w:rPr>
              <w:t>法人或者其他组织的营业执照等证明文件，自然人的身份证明</w:t>
            </w:r>
            <w:r>
              <w:rPr>
                <w:rFonts w:hint="eastAsia" w:ascii="宋体" w:hAnsi="宋体"/>
                <w:color w:val="auto"/>
                <w:szCs w:val="21"/>
                <w:highlight w:val="none"/>
              </w:rPr>
              <w:t>（身份证为正、反面）</w:t>
            </w:r>
          </w:p>
        </w:tc>
        <w:tc>
          <w:tcPr>
            <w:tcW w:w="2158" w:type="dxa"/>
            <w:vAlign w:val="center"/>
          </w:tcPr>
          <w:p w14:paraId="66496F0F">
            <w:pPr>
              <w:spacing w:line="360" w:lineRule="auto"/>
              <w:rPr>
                <w:rFonts w:ascii="宋体" w:hAnsi="宋体"/>
                <w:b/>
                <w:color w:val="auto"/>
                <w:szCs w:val="21"/>
                <w:highlight w:val="none"/>
              </w:rPr>
            </w:pPr>
          </w:p>
        </w:tc>
      </w:tr>
      <w:tr w14:paraId="29A04D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646" w:type="dxa"/>
            <w:vAlign w:val="center"/>
          </w:tcPr>
          <w:p w14:paraId="4E32DDEC">
            <w:pPr>
              <w:spacing w:line="360" w:lineRule="auto"/>
              <w:jc w:val="center"/>
              <w:rPr>
                <w:rFonts w:ascii="宋体" w:hAnsi="宋体"/>
                <w:color w:val="auto"/>
                <w:szCs w:val="21"/>
                <w:highlight w:val="none"/>
              </w:rPr>
            </w:pPr>
            <w:r>
              <w:rPr>
                <w:rFonts w:hint="eastAsia" w:ascii="宋体" w:hAnsi="宋体"/>
                <w:color w:val="auto"/>
                <w:szCs w:val="21"/>
                <w:highlight w:val="none"/>
              </w:rPr>
              <w:t>2</w:t>
            </w:r>
          </w:p>
        </w:tc>
        <w:tc>
          <w:tcPr>
            <w:tcW w:w="5447" w:type="dxa"/>
            <w:vAlign w:val="center"/>
          </w:tcPr>
          <w:p w14:paraId="2126F730">
            <w:pPr>
              <w:spacing w:line="360" w:lineRule="auto"/>
              <w:rPr>
                <w:rFonts w:ascii="宋体" w:hAnsi="宋体"/>
                <w:iCs/>
                <w:color w:val="auto"/>
                <w:szCs w:val="21"/>
                <w:highlight w:val="none"/>
              </w:rPr>
            </w:pPr>
            <w:r>
              <w:rPr>
                <w:rFonts w:hint="eastAsia" w:ascii="宋体" w:hAnsi="宋体" w:cs="宋体"/>
                <w:color w:val="auto"/>
                <w:szCs w:val="21"/>
                <w:highlight w:val="none"/>
              </w:rPr>
              <w:t>依法缴纳职工社会保障资金的证明材料</w:t>
            </w:r>
            <w:r>
              <w:rPr>
                <w:rFonts w:hint="eastAsia" w:ascii="宋体" w:hAnsi="宋体" w:cs="宋体"/>
                <w:b/>
                <w:bCs/>
                <w:color w:val="auto"/>
                <w:szCs w:val="21"/>
                <w:highlight w:val="none"/>
              </w:rPr>
              <w:t>(税务、银行或社会保险基金管理部门出具的近三个月内任意一个月缴纳职工社会保障资金的缴款凭证或缴款证明)</w:t>
            </w:r>
          </w:p>
        </w:tc>
        <w:tc>
          <w:tcPr>
            <w:tcW w:w="2158" w:type="dxa"/>
            <w:vAlign w:val="center"/>
          </w:tcPr>
          <w:p w14:paraId="2FAAD1DD">
            <w:pPr>
              <w:spacing w:line="360" w:lineRule="auto"/>
              <w:rPr>
                <w:rFonts w:ascii="宋体" w:hAnsi="宋体"/>
                <w:color w:val="auto"/>
                <w:szCs w:val="21"/>
                <w:highlight w:val="none"/>
              </w:rPr>
            </w:pPr>
          </w:p>
        </w:tc>
      </w:tr>
      <w:tr w14:paraId="698AE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646" w:type="dxa"/>
            <w:vAlign w:val="center"/>
          </w:tcPr>
          <w:p w14:paraId="13D19C0C">
            <w:pPr>
              <w:spacing w:line="360" w:lineRule="auto"/>
              <w:jc w:val="center"/>
              <w:rPr>
                <w:rFonts w:ascii="宋体" w:hAnsi="宋体"/>
                <w:color w:val="auto"/>
                <w:szCs w:val="21"/>
                <w:highlight w:val="none"/>
              </w:rPr>
            </w:pPr>
            <w:r>
              <w:rPr>
                <w:rFonts w:hint="eastAsia" w:ascii="宋体" w:hAnsi="宋体"/>
                <w:color w:val="auto"/>
                <w:szCs w:val="21"/>
                <w:highlight w:val="none"/>
              </w:rPr>
              <w:t>3</w:t>
            </w:r>
          </w:p>
        </w:tc>
        <w:tc>
          <w:tcPr>
            <w:tcW w:w="5447" w:type="dxa"/>
            <w:vAlign w:val="center"/>
          </w:tcPr>
          <w:p w14:paraId="07F526C4">
            <w:pPr>
              <w:spacing w:line="360" w:lineRule="auto"/>
              <w:rPr>
                <w:rFonts w:ascii="宋体" w:hAnsi="宋体"/>
                <w:iCs/>
                <w:color w:val="auto"/>
                <w:szCs w:val="21"/>
                <w:highlight w:val="none"/>
              </w:rPr>
            </w:pPr>
            <w:r>
              <w:rPr>
                <w:rFonts w:hint="eastAsia" w:ascii="宋体" w:hAnsi="宋体" w:cs="宋体"/>
                <w:color w:val="auto"/>
                <w:szCs w:val="21"/>
                <w:highlight w:val="none"/>
              </w:rPr>
              <w:t>投标人近三个月内任意一份依法纳税的缴款凭证</w:t>
            </w:r>
          </w:p>
        </w:tc>
        <w:tc>
          <w:tcPr>
            <w:tcW w:w="2158" w:type="dxa"/>
            <w:vAlign w:val="center"/>
          </w:tcPr>
          <w:p w14:paraId="6F4F1773">
            <w:pPr>
              <w:spacing w:line="360" w:lineRule="auto"/>
              <w:rPr>
                <w:rFonts w:ascii="宋体" w:hAnsi="宋体"/>
                <w:color w:val="auto"/>
                <w:szCs w:val="21"/>
                <w:highlight w:val="none"/>
              </w:rPr>
            </w:pPr>
          </w:p>
        </w:tc>
      </w:tr>
      <w:tr w14:paraId="2F1E9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646" w:type="dxa"/>
            <w:vAlign w:val="center"/>
          </w:tcPr>
          <w:p w14:paraId="3A1FDCFB">
            <w:pPr>
              <w:spacing w:line="360" w:lineRule="auto"/>
              <w:jc w:val="center"/>
              <w:rPr>
                <w:rFonts w:ascii="宋体" w:hAnsi="宋体"/>
                <w:color w:val="auto"/>
                <w:szCs w:val="21"/>
                <w:highlight w:val="none"/>
              </w:rPr>
            </w:pPr>
            <w:r>
              <w:rPr>
                <w:rFonts w:hint="eastAsia" w:ascii="宋体" w:hAnsi="宋体"/>
                <w:color w:val="auto"/>
                <w:szCs w:val="21"/>
                <w:highlight w:val="none"/>
              </w:rPr>
              <w:t>4</w:t>
            </w:r>
          </w:p>
        </w:tc>
        <w:tc>
          <w:tcPr>
            <w:tcW w:w="5447" w:type="dxa"/>
            <w:vAlign w:val="center"/>
          </w:tcPr>
          <w:p w14:paraId="17F643BF">
            <w:pPr>
              <w:spacing w:line="360" w:lineRule="auto"/>
              <w:rPr>
                <w:rFonts w:ascii="宋体" w:hAnsi="宋体"/>
                <w:iCs/>
                <w:color w:val="auto"/>
                <w:szCs w:val="21"/>
                <w:highlight w:val="none"/>
              </w:rPr>
            </w:pPr>
            <w:r>
              <w:rPr>
                <w:rFonts w:hint="eastAsia" w:ascii="宋体" w:hAnsi="宋体" w:cs="宋体"/>
                <w:color w:val="auto"/>
                <w:szCs w:val="21"/>
                <w:highlight w:val="none"/>
              </w:rPr>
              <w:t>上一年度的财务状况情况</w:t>
            </w:r>
            <w:r>
              <w:rPr>
                <w:rFonts w:hint="eastAsia" w:ascii="宋体" w:hAnsi="宋体" w:cs="宋体"/>
                <w:b/>
                <w:bCs/>
                <w:color w:val="auto"/>
                <w:szCs w:val="21"/>
                <w:highlight w:val="none"/>
              </w:rPr>
              <w:t>（成立不满一年不需提供）</w:t>
            </w:r>
          </w:p>
        </w:tc>
        <w:tc>
          <w:tcPr>
            <w:tcW w:w="2158" w:type="dxa"/>
            <w:vAlign w:val="center"/>
          </w:tcPr>
          <w:p w14:paraId="79EBE46B">
            <w:pPr>
              <w:spacing w:line="360" w:lineRule="auto"/>
              <w:rPr>
                <w:rFonts w:ascii="宋体" w:hAnsi="宋体"/>
                <w:color w:val="auto"/>
                <w:szCs w:val="21"/>
                <w:highlight w:val="none"/>
              </w:rPr>
            </w:pPr>
          </w:p>
        </w:tc>
      </w:tr>
      <w:tr w14:paraId="63339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646" w:type="dxa"/>
            <w:vAlign w:val="center"/>
          </w:tcPr>
          <w:p w14:paraId="4CEAB33E">
            <w:pPr>
              <w:spacing w:line="360" w:lineRule="auto"/>
              <w:jc w:val="center"/>
              <w:rPr>
                <w:rFonts w:ascii="宋体" w:hAnsi="宋体"/>
                <w:color w:val="auto"/>
                <w:szCs w:val="21"/>
                <w:highlight w:val="none"/>
              </w:rPr>
            </w:pPr>
            <w:r>
              <w:rPr>
                <w:rFonts w:hint="eastAsia" w:ascii="宋体" w:hAnsi="宋体"/>
                <w:color w:val="auto"/>
                <w:szCs w:val="21"/>
                <w:highlight w:val="none"/>
              </w:rPr>
              <w:t>5</w:t>
            </w:r>
          </w:p>
        </w:tc>
        <w:tc>
          <w:tcPr>
            <w:tcW w:w="5447" w:type="dxa"/>
            <w:vAlign w:val="center"/>
          </w:tcPr>
          <w:p w14:paraId="338D8AA0">
            <w:pPr>
              <w:spacing w:line="360" w:lineRule="auto"/>
              <w:rPr>
                <w:rFonts w:ascii="宋体" w:hAnsi="宋体"/>
                <w:iCs/>
                <w:color w:val="auto"/>
                <w:szCs w:val="21"/>
                <w:highlight w:val="none"/>
              </w:rPr>
            </w:pPr>
            <w:r>
              <w:rPr>
                <w:rFonts w:hint="eastAsia" w:ascii="宋体" w:hAnsi="宋体" w:cs="宋体"/>
                <w:color w:val="auto"/>
                <w:szCs w:val="21"/>
                <w:highlight w:val="none"/>
              </w:rPr>
              <w:t>具备履行合同所必需的设备和专业技术能力的证明材料</w:t>
            </w:r>
          </w:p>
        </w:tc>
        <w:tc>
          <w:tcPr>
            <w:tcW w:w="2158" w:type="dxa"/>
            <w:vAlign w:val="center"/>
          </w:tcPr>
          <w:p w14:paraId="25BC4307">
            <w:pPr>
              <w:spacing w:line="360" w:lineRule="auto"/>
              <w:rPr>
                <w:rFonts w:ascii="宋体" w:hAnsi="宋体"/>
                <w:color w:val="auto"/>
                <w:szCs w:val="21"/>
                <w:highlight w:val="none"/>
              </w:rPr>
            </w:pPr>
          </w:p>
        </w:tc>
      </w:tr>
      <w:tr w14:paraId="228C8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646" w:type="dxa"/>
            <w:vAlign w:val="center"/>
          </w:tcPr>
          <w:p w14:paraId="6034605A">
            <w:pPr>
              <w:spacing w:line="360" w:lineRule="auto"/>
              <w:jc w:val="center"/>
              <w:rPr>
                <w:rFonts w:ascii="宋体" w:hAnsi="宋体"/>
                <w:color w:val="auto"/>
                <w:szCs w:val="21"/>
                <w:highlight w:val="none"/>
              </w:rPr>
            </w:pPr>
            <w:r>
              <w:rPr>
                <w:rFonts w:hint="eastAsia" w:ascii="宋体" w:hAnsi="宋体"/>
                <w:color w:val="auto"/>
                <w:szCs w:val="21"/>
                <w:highlight w:val="none"/>
              </w:rPr>
              <w:t>6</w:t>
            </w:r>
          </w:p>
        </w:tc>
        <w:tc>
          <w:tcPr>
            <w:tcW w:w="5447" w:type="dxa"/>
            <w:vAlign w:val="center"/>
          </w:tcPr>
          <w:p w14:paraId="5305CD44">
            <w:pPr>
              <w:spacing w:line="360" w:lineRule="auto"/>
              <w:rPr>
                <w:rFonts w:ascii="宋体" w:hAnsi="宋体"/>
                <w:iCs/>
                <w:color w:val="auto"/>
                <w:szCs w:val="21"/>
                <w:highlight w:val="none"/>
              </w:rPr>
            </w:pPr>
            <w:r>
              <w:rPr>
                <w:rFonts w:hint="eastAsia" w:ascii="宋体" w:hAnsi="宋体" w:cs="宋体"/>
                <w:color w:val="auto"/>
                <w:szCs w:val="21"/>
                <w:highlight w:val="none"/>
              </w:rPr>
              <w:t xml:space="preserve"> 参加本次政府采购活动前3年内在经营活动中没有重大违法记录的书面声明</w:t>
            </w:r>
          </w:p>
        </w:tc>
        <w:tc>
          <w:tcPr>
            <w:tcW w:w="2158" w:type="dxa"/>
            <w:vAlign w:val="center"/>
          </w:tcPr>
          <w:p w14:paraId="5A0A5578">
            <w:pPr>
              <w:spacing w:line="360" w:lineRule="auto"/>
              <w:rPr>
                <w:rFonts w:ascii="宋体" w:hAnsi="宋体"/>
                <w:color w:val="auto"/>
                <w:szCs w:val="21"/>
                <w:highlight w:val="none"/>
              </w:rPr>
            </w:pPr>
          </w:p>
        </w:tc>
      </w:tr>
      <w:tr w14:paraId="085A59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646" w:type="dxa"/>
            <w:vAlign w:val="center"/>
          </w:tcPr>
          <w:p w14:paraId="7614E416">
            <w:pPr>
              <w:spacing w:line="360" w:lineRule="auto"/>
              <w:jc w:val="center"/>
              <w:rPr>
                <w:rFonts w:ascii="宋体" w:hAnsi="宋体"/>
                <w:color w:val="auto"/>
                <w:szCs w:val="21"/>
                <w:highlight w:val="none"/>
              </w:rPr>
            </w:pPr>
            <w:r>
              <w:rPr>
                <w:rFonts w:hint="eastAsia" w:ascii="宋体" w:hAnsi="宋体"/>
                <w:color w:val="auto"/>
                <w:szCs w:val="21"/>
                <w:highlight w:val="none"/>
              </w:rPr>
              <w:t>7</w:t>
            </w:r>
          </w:p>
        </w:tc>
        <w:tc>
          <w:tcPr>
            <w:tcW w:w="5447" w:type="dxa"/>
            <w:vAlign w:val="center"/>
          </w:tcPr>
          <w:p w14:paraId="012C00F7">
            <w:pPr>
              <w:spacing w:line="360" w:lineRule="auto"/>
              <w:rPr>
                <w:rFonts w:ascii="宋体" w:hAnsi="宋体" w:cs="宋体"/>
                <w:color w:val="auto"/>
                <w:szCs w:val="21"/>
                <w:highlight w:val="none"/>
              </w:rPr>
            </w:pPr>
            <w:r>
              <w:rPr>
                <w:rFonts w:hint="eastAsia" w:ascii="宋体" w:hAnsi="宋体" w:cs="宋体"/>
                <w:color w:val="auto"/>
                <w:szCs w:val="21"/>
                <w:highlight w:val="none"/>
              </w:rPr>
              <w:t>未被“信用中国”网站（www.creditchina.gov.cn）、“中国政府采购网"(www.ccgp.gov.cn)列入失信被执行人、重大税收违法案件当事人名单、政府采购严重违法失信行为记录名单</w:t>
            </w:r>
          </w:p>
        </w:tc>
        <w:tc>
          <w:tcPr>
            <w:tcW w:w="2158" w:type="dxa"/>
            <w:vAlign w:val="center"/>
          </w:tcPr>
          <w:p w14:paraId="70D8D0CA">
            <w:pPr>
              <w:spacing w:line="360" w:lineRule="auto"/>
              <w:rPr>
                <w:rFonts w:ascii="宋体" w:hAnsi="宋体"/>
                <w:color w:val="auto"/>
                <w:szCs w:val="21"/>
                <w:highlight w:val="none"/>
              </w:rPr>
            </w:pPr>
          </w:p>
        </w:tc>
      </w:tr>
      <w:tr w14:paraId="4CC32D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646" w:type="dxa"/>
            <w:vAlign w:val="center"/>
          </w:tcPr>
          <w:p w14:paraId="6E42B4A7">
            <w:pPr>
              <w:spacing w:line="360" w:lineRule="auto"/>
              <w:jc w:val="center"/>
              <w:rPr>
                <w:rFonts w:ascii="宋体" w:hAnsi="宋体"/>
                <w:color w:val="auto"/>
                <w:szCs w:val="21"/>
                <w:highlight w:val="none"/>
              </w:rPr>
            </w:pPr>
            <w:r>
              <w:rPr>
                <w:rFonts w:hint="eastAsia" w:ascii="宋体" w:hAnsi="宋体"/>
                <w:color w:val="auto"/>
                <w:szCs w:val="21"/>
                <w:highlight w:val="none"/>
              </w:rPr>
              <w:t>8</w:t>
            </w:r>
          </w:p>
        </w:tc>
        <w:tc>
          <w:tcPr>
            <w:tcW w:w="5447" w:type="dxa"/>
            <w:vAlign w:val="center"/>
          </w:tcPr>
          <w:p w14:paraId="03FEDE6C">
            <w:pPr>
              <w:spacing w:line="360" w:lineRule="auto"/>
              <w:rPr>
                <w:rFonts w:ascii="宋体" w:hAnsi="宋体" w:cs="宋体"/>
                <w:color w:val="auto"/>
                <w:szCs w:val="21"/>
                <w:highlight w:val="none"/>
              </w:rPr>
            </w:pPr>
            <w:r>
              <w:rPr>
                <w:rFonts w:hint="eastAsia" w:ascii="宋体" w:hAnsi="宋体" w:cs="宋体"/>
                <w:color w:val="auto"/>
                <w:szCs w:val="21"/>
                <w:highlight w:val="none"/>
              </w:rPr>
              <w:t>供应商信用承诺函</w:t>
            </w:r>
          </w:p>
        </w:tc>
        <w:tc>
          <w:tcPr>
            <w:tcW w:w="2158" w:type="dxa"/>
            <w:vAlign w:val="center"/>
          </w:tcPr>
          <w:p w14:paraId="0CFC2235">
            <w:pPr>
              <w:spacing w:line="360" w:lineRule="auto"/>
              <w:rPr>
                <w:rFonts w:ascii="宋体" w:hAnsi="宋体"/>
                <w:color w:val="auto"/>
                <w:szCs w:val="21"/>
                <w:highlight w:val="none"/>
              </w:rPr>
            </w:pPr>
          </w:p>
        </w:tc>
      </w:tr>
      <w:tr w14:paraId="43E78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251" w:type="dxa"/>
            <w:gridSpan w:val="3"/>
            <w:vAlign w:val="center"/>
          </w:tcPr>
          <w:p w14:paraId="6F20750F">
            <w:pPr>
              <w:spacing w:line="360" w:lineRule="auto"/>
              <w:rPr>
                <w:rFonts w:ascii="宋体" w:hAnsi="宋体"/>
                <w:color w:val="auto"/>
                <w:szCs w:val="21"/>
                <w:highlight w:val="none"/>
              </w:rPr>
            </w:pPr>
            <w:r>
              <w:rPr>
                <w:rFonts w:hint="eastAsia" w:ascii="宋体" w:hAnsi="宋体" w:cs="宋体"/>
                <w:b/>
                <w:bCs/>
                <w:color w:val="auto"/>
                <w:szCs w:val="21"/>
                <w:highlight w:val="none"/>
              </w:rPr>
              <w:t>落实政府采购政策需满足的资格要求</w:t>
            </w:r>
          </w:p>
        </w:tc>
      </w:tr>
      <w:tr w14:paraId="6036A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trPr>
        <w:tc>
          <w:tcPr>
            <w:tcW w:w="646" w:type="dxa"/>
            <w:vAlign w:val="center"/>
          </w:tcPr>
          <w:p w14:paraId="571D5FFB">
            <w:pPr>
              <w:spacing w:line="360" w:lineRule="auto"/>
              <w:jc w:val="center"/>
              <w:rPr>
                <w:rFonts w:ascii="宋体" w:hAnsi="宋体"/>
                <w:color w:val="auto"/>
                <w:szCs w:val="21"/>
                <w:highlight w:val="none"/>
              </w:rPr>
            </w:pPr>
            <w:r>
              <w:rPr>
                <w:rFonts w:hint="eastAsia" w:ascii="宋体" w:hAnsi="宋体"/>
                <w:color w:val="auto"/>
                <w:szCs w:val="21"/>
                <w:highlight w:val="none"/>
              </w:rPr>
              <w:t>9</w:t>
            </w:r>
          </w:p>
        </w:tc>
        <w:tc>
          <w:tcPr>
            <w:tcW w:w="5447" w:type="dxa"/>
            <w:vAlign w:val="center"/>
          </w:tcPr>
          <w:p w14:paraId="2EED6178">
            <w:pPr>
              <w:pStyle w:val="4"/>
              <w:spacing w:line="360" w:lineRule="auto"/>
              <w:rPr>
                <w:rFonts w:ascii="宋体" w:hAnsi="宋体"/>
                <w:color w:val="auto"/>
                <w:highlight w:val="none"/>
              </w:rPr>
            </w:pPr>
          </w:p>
        </w:tc>
        <w:tc>
          <w:tcPr>
            <w:tcW w:w="2158" w:type="dxa"/>
            <w:vAlign w:val="center"/>
          </w:tcPr>
          <w:p w14:paraId="77DCE66A">
            <w:pPr>
              <w:spacing w:line="360" w:lineRule="auto"/>
              <w:rPr>
                <w:rFonts w:ascii="宋体" w:hAnsi="宋体"/>
                <w:color w:val="auto"/>
                <w:szCs w:val="21"/>
                <w:highlight w:val="none"/>
              </w:rPr>
            </w:pPr>
          </w:p>
        </w:tc>
      </w:tr>
      <w:tr w14:paraId="4B13E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8251" w:type="dxa"/>
            <w:gridSpan w:val="3"/>
            <w:vAlign w:val="center"/>
          </w:tcPr>
          <w:p w14:paraId="6FDE277F">
            <w:pPr>
              <w:spacing w:line="360" w:lineRule="auto"/>
              <w:rPr>
                <w:rFonts w:ascii="宋体" w:hAnsi="宋体"/>
                <w:color w:val="auto"/>
                <w:szCs w:val="21"/>
                <w:highlight w:val="none"/>
              </w:rPr>
            </w:pPr>
            <w:r>
              <w:rPr>
                <w:rFonts w:hint="eastAsia" w:ascii="宋体" w:hAnsi="宋体"/>
                <w:b/>
                <w:color w:val="auto"/>
                <w:szCs w:val="21"/>
                <w:highlight w:val="none"/>
              </w:rPr>
              <w:t>特定资格条件</w:t>
            </w:r>
          </w:p>
        </w:tc>
      </w:tr>
      <w:tr w14:paraId="06E28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646" w:type="dxa"/>
            <w:vAlign w:val="center"/>
          </w:tcPr>
          <w:p w14:paraId="1ACE2B44">
            <w:pPr>
              <w:spacing w:line="360" w:lineRule="auto"/>
              <w:jc w:val="center"/>
              <w:rPr>
                <w:rFonts w:ascii="宋体" w:hAnsi="宋体"/>
                <w:color w:val="auto"/>
                <w:szCs w:val="21"/>
                <w:highlight w:val="none"/>
              </w:rPr>
            </w:pPr>
            <w:r>
              <w:rPr>
                <w:rFonts w:hint="eastAsia" w:ascii="宋体" w:hAnsi="宋体"/>
                <w:color w:val="auto"/>
                <w:szCs w:val="21"/>
                <w:highlight w:val="none"/>
              </w:rPr>
              <w:t>10</w:t>
            </w:r>
          </w:p>
        </w:tc>
        <w:tc>
          <w:tcPr>
            <w:tcW w:w="5447" w:type="dxa"/>
            <w:vAlign w:val="center"/>
          </w:tcPr>
          <w:p w14:paraId="511A9098">
            <w:pPr>
              <w:spacing w:line="360" w:lineRule="auto"/>
              <w:rPr>
                <w:rFonts w:ascii="宋体" w:hAnsi="宋体" w:cs="宋体"/>
                <w:color w:val="auto"/>
                <w:szCs w:val="21"/>
                <w:highlight w:val="none"/>
              </w:rPr>
            </w:pPr>
            <w:r>
              <w:rPr>
                <w:rFonts w:hint="eastAsia" w:ascii="宋体" w:hAnsi="宋体" w:cs="宋体"/>
                <w:color w:val="auto"/>
                <w:szCs w:val="21"/>
                <w:highlight w:val="none"/>
              </w:rPr>
              <w:t>（1）投标人不是所投设备生产厂家，属于三类医疗器械的投标人须具有医疗器械经营企业许可证，属于二类医疗器械的须具有医疗器械经营企业备案登记凭证(提供有效证件复印件加盖投标人公章)；</w:t>
            </w:r>
          </w:p>
          <w:p w14:paraId="22C32D4C">
            <w:pPr>
              <w:spacing w:line="360" w:lineRule="auto"/>
              <w:rPr>
                <w:rFonts w:ascii="宋体" w:hAnsi="宋体"/>
                <w:iCs/>
                <w:color w:val="auto"/>
                <w:szCs w:val="21"/>
                <w:highlight w:val="none"/>
              </w:rPr>
            </w:pPr>
            <w:r>
              <w:rPr>
                <w:rFonts w:hint="eastAsia" w:ascii="宋体" w:hAnsi="宋体" w:cs="宋体"/>
                <w:color w:val="auto"/>
                <w:szCs w:val="21"/>
                <w:highlight w:val="none"/>
              </w:rPr>
              <w:t>（2）所投设备属于二、三类医疗器械产品的须具有医疗器械注册证、医疗器械生产许可证，属于一类医疗器械产品的须具有产品备案登记凭证、生产企业备案登记凭证(提供有效证件复印件加盖投标人公章)。</w:t>
            </w:r>
          </w:p>
        </w:tc>
        <w:tc>
          <w:tcPr>
            <w:tcW w:w="2158" w:type="dxa"/>
            <w:vAlign w:val="center"/>
          </w:tcPr>
          <w:p w14:paraId="102406E8">
            <w:pPr>
              <w:spacing w:line="360" w:lineRule="auto"/>
              <w:rPr>
                <w:rFonts w:ascii="宋体" w:hAnsi="宋体"/>
                <w:color w:val="auto"/>
                <w:szCs w:val="21"/>
                <w:highlight w:val="none"/>
              </w:rPr>
            </w:pPr>
          </w:p>
        </w:tc>
      </w:tr>
      <w:tr w14:paraId="69DED9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8251" w:type="dxa"/>
            <w:gridSpan w:val="3"/>
            <w:vAlign w:val="center"/>
          </w:tcPr>
          <w:p w14:paraId="01C791B0">
            <w:pPr>
              <w:spacing w:line="360" w:lineRule="auto"/>
              <w:rPr>
                <w:rFonts w:ascii="宋体" w:hAnsi="宋体"/>
                <w:color w:val="auto"/>
                <w:szCs w:val="21"/>
                <w:highlight w:val="none"/>
              </w:rPr>
            </w:pPr>
            <w:r>
              <w:rPr>
                <w:rFonts w:hint="eastAsia" w:ascii="宋体" w:hAnsi="宋体"/>
                <w:b/>
                <w:color w:val="auto"/>
                <w:szCs w:val="21"/>
                <w:highlight w:val="none"/>
              </w:rPr>
              <w:t>其他资格条件</w:t>
            </w:r>
          </w:p>
        </w:tc>
      </w:tr>
      <w:tr w14:paraId="01FD4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646" w:type="dxa"/>
            <w:vAlign w:val="center"/>
          </w:tcPr>
          <w:p w14:paraId="73727A98">
            <w:pPr>
              <w:spacing w:line="360" w:lineRule="auto"/>
              <w:jc w:val="center"/>
              <w:rPr>
                <w:rFonts w:ascii="宋体" w:hAnsi="宋体"/>
                <w:color w:val="auto"/>
                <w:szCs w:val="21"/>
                <w:highlight w:val="none"/>
              </w:rPr>
            </w:pPr>
            <w:r>
              <w:rPr>
                <w:rFonts w:hint="eastAsia" w:ascii="宋体" w:hAnsi="宋体"/>
                <w:color w:val="auto"/>
                <w:szCs w:val="21"/>
                <w:highlight w:val="none"/>
              </w:rPr>
              <w:t>11</w:t>
            </w:r>
          </w:p>
        </w:tc>
        <w:tc>
          <w:tcPr>
            <w:tcW w:w="5447" w:type="dxa"/>
            <w:vAlign w:val="center"/>
          </w:tcPr>
          <w:p w14:paraId="60FDA8E6">
            <w:pPr>
              <w:snapToGrid w:val="0"/>
              <w:spacing w:line="360" w:lineRule="auto"/>
              <w:jc w:val="left"/>
              <w:rPr>
                <w:rFonts w:ascii="宋体" w:hAnsi="宋体"/>
                <w:iCs/>
                <w:color w:val="auto"/>
                <w:szCs w:val="21"/>
                <w:highlight w:val="none"/>
              </w:rPr>
            </w:pPr>
            <w:r>
              <w:rPr>
                <w:rFonts w:hint="eastAsia" w:ascii="宋体" w:hAnsi="宋体"/>
                <w:iCs/>
                <w:color w:val="auto"/>
                <w:szCs w:val="21"/>
                <w:highlight w:val="none"/>
              </w:rPr>
              <w:t>投标函</w:t>
            </w:r>
          </w:p>
        </w:tc>
        <w:tc>
          <w:tcPr>
            <w:tcW w:w="2158" w:type="dxa"/>
            <w:vAlign w:val="center"/>
          </w:tcPr>
          <w:p w14:paraId="4631DDDC">
            <w:pPr>
              <w:spacing w:line="360" w:lineRule="auto"/>
              <w:rPr>
                <w:rFonts w:ascii="宋体" w:hAnsi="宋体"/>
                <w:color w:val="auto"/>
                <w:szCs w:val="21"/>
                <w:highlight w:val="none"/>
              </w:rPr>
            </w:pPr>
          </w:p>
        </w:tc>
      </w:tr>
      <w:tr w14:paraId="35984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646" w:type="dxa"/>
            <w:vAlign w:val="center"/>
          </w:tcPr>
          <w:p w14:paraId="050C36B7">
            <w:pPr>
              <w:spacing w:line="360" w:lineRule="auto"/>
              <w:jc w:val="center"/>
              <w:rPr>
                <w:rFonts w:ascii="宋体" w:hAnsi="宋体"/>
                <w:color w:val="auto"/>
                <w:szCs w:val="21"/>
                <w:highlight w:val="none"/>
              </w:rPr>
            </w:pPr>
            <w:r>
              <w:rPr>
                <w:rFonts w:hint="eastAsia" w:ascii="宋体" w:hAnsi="宋体"/>
                <w:color w:val="auto"/>
                <w:szCs w:val="21"/>
                <w:highlight w:val="none"/>
              </w:rPr>
              <w:t>12</w:t>
            </w:r>
          </w:p>
        </w:tc>
        <w:tc>
          <w:tcPr>
            <w:tcW w:w="5447" w:type="dxa"/>
            <w:vAlign w:val="center"/>
          </w:tcPr>
          <w:p w14:paraId="6359CF89">
            <w:pPr>
              <w:snapToGrid w:val="0"/>
              <w:spacing w:line="360" w:lineRule="auto"/>
              <w:jc w:val="left"/>
              <w:rPr>
                <w:rFonts w:ascii="宋体" w:hAnsi="宋体"/>
                <w:iCs/>
                <w:color w:val="auto"/>
                <w:szCs w:val="21"/>
                <w:highlight w:val="none"/>
              </w:rPr>
            </w:pPr>
            <w:r>
              <w:rPr>
                <w:rFonts w:hint="eastAsia" w:ascii="宋体" w:hAnsi="宋体"/>
                <w:iCs/>
                <w:color w:val="auto"/>
                <w:szCs w:val="21"/>
                <w:highlight w:val="none"/>
              </w:rPr>
              <w:t>法人授权书</w:t>
            </w:r>
          </w:p>
        </w:tc>
        <w:tc>
          <w:tcPr>
            <w:tcW w:w="2158" w:type="dxa"/>
            <w:vAlign w:val="center"/>
          </w:tcPr>
          <w:p w14:paraId="7D19C032">
            <w:pPr>
              <w:spacing w:line="360" w:lineRule="auto"/>
              <w:rPr>
                <w:rFonts w:ascii="宋体" w:hAnsi="宋体"/>
                <w:color w:val="auto"/>
                <w:szCs w:val="21"/>
                <w:highlight w:val="none"/>
              </w:rPr>
            </w:pPr>
          </w:p>
        </w:tc>
      </w:tr>
    </w:tbl>
    <w:p w14:paraId="1A6F48A2">
      <w:pPr>
        <w:spacing w:before="156" w:beforeLines="50" w:after="156" w:afterLines="50" w:line="360" w:lineRule="auto"/>
        <w:ind w:firstLine="1476" w:firstLineChars="700"/>
        <w:rPr>
          <w:rFonts w:ascii="宋体" w:hAnsi="宋体"/>
          <w:b/>
          <w:bCs/>
          <w:color w:val="auto"/>
          <w:highlight w:val="none"/>
        </w:rPr>
      </w:pPr>
    </w:p>
    <w:p w14:paraId="09C1F1BE">
      <w:pPr>
        <w:spacing w:before="156" w:beforeLines="50" w:after="156" w:afterLines="50" w:line="360" w:lineRule="auto"/>
        <w:ind w:firstLine="1476" w:firstLineChars="700"/>
        <w:rPr>
          <w:rFonts w:ascii="宋体" w:hAnsi="宋体"/>
          <w:b/>
          <w:bCs/>
          <w:color w:val="auto"/>
          <w:highlight w:val="none"/>
        </w:rPr>
      </w:pPr>
      <w:r>
        <w:rPr>
          <w:rFonts w:hint="eastAsia" w:ascii="宋体" w:hAnsi="宋体"/>
          <w:b/>
          <w:bCs/>
          <w:color w:val="auto"/>
          <w:highlight w:val="none"/>
        </w:rPr>
        <w:t>具备履行合同所必需的设备和专业技术能力的书面声明</w:t>
      </w:r>
    </w:p>
    <w:p w14:paraId="40692E07">
      <w:pPr>
        <w:spacing w:line="360" w:lineRule="auto"/>
        <w:ind w:firstLine="492"/>
        <w:rPr>
          <w:rFonts w:ascii="宋体" w:hAnsi="宋体"/>
          <w:bCs/>
          <w:color w:val="auto"/>
          <w:szCs w:val="21"/>
          <w:highlight w:val="none"/>
        </w:rPr>
      </w:pPr>
      <w:r>
        <w:rPr>
          <w:rFonts w:hint="eastAsia" w:ascii="宋体" w:hAnsi="宋体"/>
          <w:bCs/>
          <w:color w:val="auto"/>
          <w:szCs w:val="21"/>
          <w:highlight w:val="none"/>
        </w:rPr>
        <w:t>我单位郑重声明：我单位具备履行本项采购合同所必需的设备和专业技术能力，为履行本项采购合同我公司具备如下主要设备和主要专业技术能力：</w:t>
      </w:r>
    </w:p>
    <w:p w14:paraId="357CD120">
      <w:pPr>
        <w:spacing w:line="360" w:lineRule="auto"/>
        <w:ind w:firstLine="492"/>
        <w:rPr>
          <w:rFonts w:ascii="宋体" w:hAnsi="宋体"/>
          <w:bCs/>
          <w:color w:val="auto"/>
          <w:szCs w:val="21"/>
          <w:highlight w:val="none"/>
        </w:rPr>
      </w:pPr>
      <w:r>
        <w:rPr>
          <w:rFonts w:hint="eastAsia" w:ascii="宋体" w:hAnsi="宋体"/>
          <w:bCs/>
          <w:color w:val="auto"/>
          <w:szCs w:val="21"/>
          <w:highlight w:val="none"/>
        </w:rPr>
        <w:t>主要设备有：。</w:t>
      </w:r>
    </w:p>
    <w:p w14:paraId="5DEA9EE8">
      <w:pPr>
        <w:spacing w:line="360" w:lineRule="auto"/>
        <w:ind w:firstLine="492"/>
        <w:rPr>
          <w:rFonts w:ascii="宋体" w:hAnsi="宋体"/>
          <w:bCs/>
          <w:color w:val="auto"/>
          <w:szCs w:val="21"/>
          <w:highlight w:val="none"/>
        </w:rPr>
      </w:pPr>
      <w:r>
        <w:rPr>
          <w:rFonts w:hint="eastAsia" w:ascii="宋体" w:hAnsi="宋体"/>
          <w:bCs/>
          <w:color w:val="auto"/>
          <w:szCs w:val="21"/>
          <w:highlight w:val="none"/>
        </w:rPr>
        <w:t>主要专业技术能力有：。</w:t>
      </w:r>
    </w:p>
    <w:p w14:paraId="5F838282">
      <w:pPr>
        <w:pStyle w:val="8"/>
        <w:rPr>
          <w:rFonts w:ascii="宋体" w:hAnsi="宋体" w:eastAsia="宋体"/>
          <w:bCs/>
          <w:color w:val="auto"/>
          <w:szCs w:val="21"/>
          <w:highlight w:val="none"/>
        </w:rPr>
      </w:pPr>
    </w:p>
    <w:p w14:paraId="1A073887">
      <w:pPr>
        <w:pStyle w:val="8"/>
        <w:rPr>
          <w:rFonts w:ascii="宋体" w:hAnsi="宋体" w:eastAsia="宋体"/>
          <w:bCs/>
          <w:color w:val="auto"/>
          <w:szCs w:val="21"/>
          <w:highlight w:val="none"/>
        </w:rPr>
      </w:pPr>
    </w:p>
    <w:p w14:paraId="12042103">
      <w:pPr>
        <w:pStyle w:val="8"/>
        <w:rPr>
          <w:rFonts w:ascii="宋体" w:hAnsi="宋体" w:eastAsia="宋体"/>
          <w:bCs/>
          <w:color w:val="auto"/>
          <w:szCs w:val="21"/>
          <w:highlight w:val="none"/>
        </w:rPr>
      </w:pPr>
    </w:p>
    <w:p w14:paraId="6EC5F9E1">
      <w:pPr>
        <w:spacing w:line="360" w:lineRule="auto"/>
        <w:rPr>
          <w:rFonts w:ascii="宋体" w:hAnsi="宋体"/>
          <w:bCs/>
          <w:color w:val="auto"/>
          <w:szCs w:val="21"/>
          <w:highlight w:val="none"/>
        </w:rPr>
      </w:pPr>
      <w:r>
        <w:rPr>
          <w:rFonts w:ascii="宋体" w:hAnsi="宋体"/>
          <w:bCs/>
          <w:color w:val="auto"/>
          <w:szCs w:val="21"/>
          <w:highlight w:val="none"/>
        </w:rPr>
        <w:t>供应商名称（公章）：</w:t>
      </w:r>
    </w:p>
    <w:p w14:paraId="43071EC6">
      <w:pPr>
        <w:spacing w:line="360" w:lineRule="auto"/>
        <w:rPr>
          <w:rFonts w:ascii="宋体" w:hAnsi="宋体"/>
          <w:bCs/>
          <w:color w:val="auto"/>
          <w:szCs w:val="21"/>
          <w:highlight w:val="none"/>
        </w:rPr>
      </w:pPr>
      <w:r>
        <w:rPr>
          <w:rFonts w:ascii="宋体" w:hAnsi="宋体"/>
          <w:bCs/>
          <w:color w:val="auto"/>
          <w:szCs w:val="21"/>
          <w:highlight w:val="none"/>
        </w:rPr>
        <w:t>法定代表人或授权代表签字：</w:t>
      </w:r>
      <w:r>
        <w:rPr>
          <w:rFonts w:ascii="宋体" w:hAnsi="宋体"/>
          <w:bCs/>
          <w:color w:val="auto"/>
          <w:szCs w:val="21"/>
          <w:highlight w:val="none"/>
          <w:u w:val="single"/>
        </w:rPr>
        <w:t>_______________________</w:t>
      </w:r>
    </w:p>
    <w:p w14:paraId="7FC42C1A">
      <w:pPr>
        <w:spacing w:line="360" w:lineRule="auto"/>
        <w:rPr>
          <w:rFonts w:ascii="宋体" w:hAnsi="宋体"/>
          <w:bCs/>
          <w:color w:val="auto"/>
          <w:szCs w:val="21"/>
          <w:highlight w:val="none"/>
        </w:rPr>
      </w:pPr>
      <w:r>
        <w:rPr>
          <w:rFonts w:ascii="宋体" w:hAnsi="宋体"/>
          <w:bCs/>
          <w:color w:val="auto"/>
          <w:szCs w:val="21"/>
          <w:highlight w:val="none"/>
        </w:rPr>
        <w:t>日期：</w:t>
      </w:r>
      <w:r>
        <w:rPr>
          <w:rFonts w:ascii="宋体" w:hAnsi="宋体"/>
          <w:bCs/>
          <w:color w:val="auto"/>
          <w:szCs w:val="21"/>
          <w:highlight w:val="none"/>
          <w:u w:val="single"/>
        </w:rPr>
        <w:t>______</w:t>
      </w:r>
      <w:r>
        <w:rPr>
          <w:rFonts w:ascii="宋体" w:hAnsi="宋体"/>
          <w:bCs/>
          <w:color w:val="auto"/>
          <w:szCs w:val="21"/>
          <w:highlight w:val="none"/>
        </w:rPr>
        <w:t>年月日</w:t>
      </w:r>
    </w:p>
    <w:p w14:paraId="1A5BDE96">
      <w:pPr>
        <w:pStyle w:val="8"/>
        <w:rPr>
          <w:rFonts w:ascii="宋体" w:hAnsi="宋体" w:eastAsia="宋体"/>
          <w:bCs/>
          <w:color w:val="auto"/>
          <w:szCs w:val="21"/>
          <w:highlight w:val="none"/>
        </w:rPr>
      </w:pPr>
    </w:p>
    <w:p w14:paraId="6DF884F9">
      <w:pPr>
        <w:adjustRightInd w:val="0"/>
        <w:spacing w:line="360" w:lineRule="auto"/>
        <w:contextualSpacing/>
        <w:rPr>
          <w:rFonts w:ascii="宋体" w:hAnsi="宋体"/>
          <w:b/>
          <w:color w:val="auto"/>
          <w:sz w:val="36"/>
          <w:highlight w:val="none"/>
        </w:rPr>
      </w:pPr>
    </w:p>
    <w:p w14:paraId="7E88A869">
      <w:pPr>
        <w:adjustRightInd w:val="0"/>
        <w:spacing w:line="360" w:lineRule="auto"/>
        <w:contextualSpacing/>
        <w:rPr>
          <w:rFonts w:ascii="宋体" w:hAnsi="宋体"/>
          <w:b/>
          <w:color w:val="auto"/>
          <w:sz w:val="36"/>
          <w:highlight w:val="none"/>
        </w:rPr>
      </w:pPr>
    </w:p>
    <w:p w14:paraId="26974D95">
      <w:pPr>
        <w:adjustRightInd w:val="0"/>
        <w:spacing w:line="360" w:lineRule="auto"/>
        <w:contextualSpacing/>
        <w:rPr>
          <w:rFonts w:ascii="宋体" w:hAnsi="宋体"/>
          <w:b/>
          <w:color w:val="auto"/>
          <w:sz w:val="36"/>
          <w:highlight w:val="none"/>
        </w:rPr>
      </w:pPr>
    </w:p>
    <w:p w14:paraId="2A20823A">
      <w:pPr>
        <w:adjustRightInd w:val="0"/>
        <w:spacing w:line="360" w:lineRule="auto"/>
        <w:contextualSpacing/>
        <w:rPr>
          <w:rFonts w:ascii="宋体" w:hAnsi="宋体"/>
          <w:b/>
          <w:color w:val="auto"/>
          <w:sz w:val="36"/>
          <w:highlight w:val="none"/>
        </w:rPr>
      </w:pPr>
    </w:p>
    <w:p w14:paraId="09B260EB">
      <w:pPr>
        <w:spacing w:line="360" w:lineRule="auto"/>
        <w:rPr>
          <w:rFonts w:ascii="宋体" w:hAnsi="宋体"/>
          <w:b/>
          <w:bCs/>
          <w:color w:val="auto"/>
          <w:highlight w:val="none"/>
        </w:rPr>
      </w:pPr>
    </w:p>
    <w:p w14:paraId="61308BBE">
      <w:pPr>
        <w:pStyle w:val="27"/>
        <w:rPr>
          <w:color w:val="auto"/>
          <w:highlight w:val="none"/>
        </w:rPr>
      </w:pPr>
    </w:p>
    <w:p w14:paraId="7543EC9B">
      <w:pPr>
        <w:spacing w:line="360" w:lineRule="auto"/>
        <w:rPr>
          <w:rFonts w:ascii="宋体" w:hAnsi="宋体"/>
          <w:b/>
          <w:bCs/>
          <w:color w:val="auto"/>
          <w:highlight w:val="none"/>
        </w:rPr>
      </w:pPr>
      <w:r>
        <w:rPr>
          <w:rFonts w:hint="eastAsia" w:ascii="宋体" w:hAnsi="宋体"/>
          <w:b/>
          <w:bCs/>
          <w:color w:val="auto"/>
          <w:highlight w:val="none"/>
        </w:rPr>
        <w:t>参加本次政府采购活动前 3 年内在经营活动中没有重大违法记录的书面声明</w:t>
      </w:r>
    </w:p>
    <w:p w14:paraId="6EC1CC9B">
      <w:pPr>
        <w:spacing w:line="360" w:lineRule="auto"/>
        <w:rPr>
          <w:rFonts w:ascii="宋体" w:hAnsi="宋体"/>
          <w:color w:val="auto"/>
          <w:highlight w:val="none"/>
        </w:rPr>
      </w:pPr>
    </w:p>
    <w:p w14:paraId="177DF642">
      <w:pPr>
        <w:spacing w:after="312" w:afterLines="100" w:line="360" w:lineRule="auto"/>
        <w:jc w:val="center"/>
        <w:rPr>
          <w:rFonts w:ascii="宋体" w:hAnsi="宋体"/>
          <w:b/>
          <w:bCs/>
          <w:color w:val="auto"/>
          <w:highlight w:val="none"/>
        </w:rPr>
      </w:pPr>
      <w:r>
        <w:rPr>
          <w:rFonts w:hint="eastAsia" w:ascii="宋体" w:hAnsi="宋体"/>
          <w:b/>
          <w:bCs/>
          <w:color w:val="auto"/>
          <w:highlight w:val="none"/>
        </w:rPr>
        <w:t>声  明</w:t>
      </w:r>
    </w:p>
    <w:p w14:paraId="39EC03D1">
      <w:pPr>
        <w:spacing w:line="360" w:lineRule="auto"/>
        <w:rPr>
          <w:rFonts w:ascii="宋体" w:hAnsi="宋体"/>
          <w:bCs/>
          <w:color w:val="auto"/>
          <w:highlight w:val="none"/>
        </w:rPr>
      </w:pPr>
      <w:r>
        <w:rPr>
          <w:rFonts w:hint="eastAsia" w:ascii="宋体" w:hAnsi="宋体"/>
          <w:bCs/>
          <w:color w:val="auto"/>
          <w:highlight w:val="none"/>
        </w:rPr>
        <w:t>我公司郑重声明：参加本次政府采购活动前 3 年内，我公司在经营活动中没有因违法经营受到刑事处罚或者责令停产停业、吊销许可证或者执照、较大数额罚款等行政处罚。</w:t>
      </w:r>
    </w:p>
    <w:p w14:paraId="38666687">
      <w:pPr>
        <w:spacing w:line="360" w:lineRule="auto"/>
        <w:rPr>
          <w:rFonts w:ascii="宋体" w:hAnsi="宋体"/>
          <w:bCs/>
          <w:color w:val="auto"/>
          <w:highlight w:val="none"/>
        </w:rPr>
      </w:pPr>
      <w:r>
        <w:rPr>
          <w:rFonts w:hint="eastAsia" w:ascii="宋体" w:hAnsi="宋体"/>
          <w:bCs/>
          <w:color w:val="auto"/>
          <w:highlight w:val="none"/>
        </w:rPr>
        <w:t xml:space="preserve">                               供应商名称（公章）：</w:t>
      </w:r>
    </w:p>
    <w:p w14:paraId="186B39C3">
      <w:pPr>
        <w:spacing w:line="360" w:lineRule="auto"/>
        <w:rPr>
          <w:rFonts w:ascii="宋体" w:hAnsi="宋体"/>
          <w:bCs/>
          <w:color w:val="auto"/>
          <w:highlight w:val="none"/>
        </w:rPr>
      </w:pPr>
      <w:r>
        <w:rPr>
          <w:rFonts w:hint="eastAsia" w:ascii="宋体" w:hAnsi="宋体"/>
          <w:bCs/>
          <w:color w:val="auto"/>
          <w:highlight w:val="none"/>
        </w:rPr>
        <w:t xml:space="preserve">                               法定代表人签字：</w:t>
      </w:r>
      <w:r>
        <w:rPr>
          <w:rFonts w:hint="eastAsia" w:ascii="宋体" w:hAnsi="宋体"/>
          <w:bCs/>
          <w:color w:val="auto"/>
          <w:highlight w:val="none"/>
          <w:u w:val="single"/>
        </w:rPr>
        <w:t>_______________________</w:t>
      </w:r>
    </w:p>
    <w:p w14:paraId="0EA4080E">
      <w:pPr>
        <w:spacing w:line="360" w:lineRule="auto"/>
        <w:rPr>
          <w:rFonts w:ascii="宋体" w:hAnsi="宋体"/>
          <w:bCs/>
          <w:color w:val="auto"/>
          <w:highlight w:val="none"/>
        </w:rPr>
      </w:pPr>
      <w:r>
        <w:rPr>
          <w:rFonts w:hint="eastAsia" w:ascii="宋体" w:hAnsi="宋体"/>
          <w:bCs/>
          <w:color w:val="auto"/>
          <w:highlight w:val="none"/>
        </w:rPr>
        <w:t xml:space="preserve">                               日期：</w:t>
      </w:r>
      <w:r>
        <w:rPr>
          <w:rFonts w:hint="eastAsia" w:ascii="宋体" w:hAnsi="宋体"/>
          <w:bCs/>
          <w:color w:val="auto"/>
          <w:highlight w:val="none"/>
          <w:u w:val="single"/>
        </w:rPr>
        <w:t>______</w:t>
      </w:r>
      <w:r>
        <w:rPr>
          <w:rFonts w:hint="eastAsia" w:ascii="宋体" w:hAnsi="宋体"/>
          <w:bCs/>
          <w:color w:val="auto"/>
          <w:highlight w:val="none"/>
        </w:rPr>
        <w:t>年月日</w:t>
      </w:r>
    </w:p>
    <w:p w14:paraId="20E0DD5D">
      <w:pPr>
        <w:spacing w:line="360" w:lineRule="auto"/>
        <w:jc w:val="center"/>
        <w:rPr>
          <w:rFonts w:ascii="宋体" w:hAnsi="宋体"/>
          <w:b/>
          <w:bCs/>
          <w:color w:val="auto"/>
          <w:highlight w:val="none"/>
        </w:rPr>
      </w:pPr>
    </w:p>
    <w:p w14:paraId="5D26A383">
      <w:pPr>
        <w:spacing w:line="360" w:lineRule="auto"/>
        <w:jc w:val="center"/>
        <w:rPr>
          <w:rFonts w:ascii="宋体" w:hAnsi="宋体"/>
          <w:b/>
          <w:bCs/>
          <w:color w:val="auto"/>
          <w:highlight w:val="none"/>
        </w:rPr>
      </w:pPr>
    </w:p>
    <w:p w14:paraId="38B4E98D">
      <w:pPr>
        <w:spacing w:line="360" w:lineRule="auto"/>
        <w:jc w:val="center"/>
        <w:rPr>
          <w:rFonts w:ascii="宋体" w:hAnsi="宋体"/>
          <w:b/>
          <w:bCs/>
          <w:color w:val="auto"/>
          <w:highlight w:val="none"/>
        </w:rPr>
      </w:pPr>
    </w:p>
    <w:p w14:paraId="0595301F">
      <w:pPr>
        <w:spacing w:line="360" w:lineRule="auto"/>
        <w:jc w:val="center"/>
        <w:rPr>
          <w:rFonts w:ascii="宋体" w:hAnsi="宋体"/>
          <w:b/>
          <w:bCs/>
          <w:color w:val="auto"/>
          <w:highlight w:val="none"/>
        </w:rPr>
      </w:pPr>
    </w:p>
    <w:p w14:paraId="71AA41A6">
      <w:pPr>
        <w:spacing w:line="360" w:lineRule="auto"/>
        <w:jc w:val="center"/>
        <w:rPr>
          <w:rFonts w:ascii="宋体" w:hAnsi="宋体"/>
          <w:b/>
          <w:bCs/>
          <w:color w:val="auto"/>
          <w:highlight w:val="none"/>
        </w:rPr>
      </w:pPr>
    </w:p>
    <w:p w14:paraId="64E1197D">
      <w:pPr>
        <w:spacing w:line="360" w:lineRule="auto"/>
        <w:jc w:val="center"/>
        <w:rPr>
          <w:rFonts w:ascii="宋体" w:hAnsi="宋体"/>
          <w:b/>
          <w:bCs/>
          <w:color w:val="auto"/>
          <w:highlight w:val="none"/>
        </w:rPr>
      </w:pPr>
    </w:p>
    <w:p w14:paraId="62A8E903">
      <w:pPr>
        <w:spacing w:line="360" w:lineRule="auto"/>
        <w:jc w:val="center"/>
        <w:rPr>
          <w:rFonts w:ascii="宋体" w:hAnsi="宋体"/>
          <w:b/>
          <w:color w:val="auto"/>
          <w:szCs w:val="21"/>
          <w:highlight w:val="none"/>
        </w:rPr>
      </w:pPr>
      <w:r>
        <w:rPr>
          <w:rFonts w:hint="eastAsia" w:ascii="宋体" w:hAnsi="宋体"/>
          <w:b/>
          <w:bCs/>
          <w:color w:val="auto"/>
          <w:highlight w:val="none"/>
        </w:rPr>
        <w:br w:type="page"/>
      </w:r>
      <w:r>
        <w:rPr>
          <w:rFonts w:hint="eastAsia" w:ascii="宋体" w:hAnsi="宋体"/>
          <w:b/>
          <w:color w:val="auto"/>
          <w:szCs w:val="21"/>
          <w:highlight w:val="none"/>
        </w:rPr>
        <w:t>供应商信用承诺书</w:t>
      </w:r>
    </w:p>
    <w:p w14:paraId="56AA4F0A">
      <w:pPr>
        <w:spacing w:line="360" w:lineRule="auto"/>
        <w:rPr>
          <w:rFonts w:ascii="宋体" w:hAnsi="宋体"/>
          <w:color w:val="auto"/>
          <w:szCs w:val="32"/>
          <w:highlight w:val="none"/>
        </w:rPr>
      </w:pPr>
    </w:p>
    <w:p w14:paraId="4A25D252">
      <w:pPr>
        <w:spacing w:line="360" w:lineRule="auto"/>
        <w:rPr>
          <w:rFonts w:ascii="宋体" w:hAnsi="宋体"/>
          <w:color w:val="auto"/>
          <w:szCs w:val="21"/>
          <w:highlight w:val="none"/>
        </w:rPr>
      </w:pPr>
      <w:r>
        <w:rPr>
          <w:rFonts w:hint="eastAsia" w:ascii="宋体" w:hAnsi="宋体"/>
          <w:color w:val="auto"/>
          <w:szCs w:val="21"/>
          <w:highlight w:val="none"/>
        </w:rPr>
        <w:t>承诺主体名称：</w:t>
      </w:r>
    </w:p>
    <w:p w14:paraId="30ACBF21">
      <w:pPr>
        <w:spacing w:line="360" w:lineRule="auto"/>
        <w:rPr>
          <w:rFonts w:ascii="宋体" w:hAnsi="宋体"/>
          <w:color w:val="auto"/>
          <w:szCs w:val="21"/>
          <w:highlight w:val="none"/>
        </w:rPr>
      </w:pPr>
      <w:r>
        <w:rPr>
          <w:rFonts w:hint="eastAsia" w:ascii="宋体" w:hAnsi="宋体"/>
          <w:color w:val="auto"/>
          <w:szCs w:val="21"/>
          <w:highlight w:val="none"/>
        </w:rPr>
        <w:t>统一社会信用代码：</w:t>
      </w:r>
    </w:p>
    <w:p w14:paraId="6E58E883">
      <w:pPr>
        <w:spacing w:line="360" w:lineRule="auto"/>
        <w:rPr>
          <w:rFonts w:ascii="宋体" w:hAnsi="宋体"/>
          <w:color w:val="auto"/>
          <w:szCs w:val="21"/>
          <w:highlight w:val="none"/>
        </w:rPr>
      </w:pPr>
    </w:p>
    <w:p w14:paraId="2A9233C2">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为维护公平竞争、规范有序的市场秩序，营造诚实守信的信用环境，共同推进社会信用体系建设完善，树立企业诚信守法形象，本企业对________________________项目政府采购活动郑重承诺如下:</w:t>
      </w:r>
    </w:p>
    <w:p w14:paraId="5BD84BFD">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一、对提供给注册登记部门、行业管理部门、司法部门、行业组织以及在政府采购活动中提交的所有资料的合法性、真实性、准确性和有效性负责；</w:t>
      </w:r>
    </w:p>
    <w:p w14:paraId="035853B0">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二、严格按照国家法律、法规和规章开展采购活动，全面履行应尽的责任和义务，全面做到履约守信，具备《中华人民共和国政府采购法》第二十二条第一款规定的条件;</w:t>
      </w:r>
    </w:p>
    <w:p w14:paraId="622EEB76">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三、严格依法开展生产经营活动，主动接受行业监管，自愿接受依法开展的日常检查；违法失信经营后将自愿接受约束和惩戒，并依法承担相应责任；</w:t>
      </w:r>
    </w:p>
    <w:p w14:paraId="62A3B9D1">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四、自觉接受行政管理部门、行业组织、社会公众、新闻舆论的监督；</w:t>
      </w:r>
    </w:p>
    <w:p w14:paraId="3ABD536E">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五、自觉做到自我约束、自我管理，不制假售假、商标侵权、虚假宣传、违约毁约、恶意逃债、偷税漏税、垄断和不正当竞争，维护经营者、消费者的合法权益；</w:t>
      </w:r>
    </w:p>
    <w:p w14:paraId="31667377">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六、提出政府采购质疑和投诉坚持依法依规、诚实信用原则，在全国范围12个月内没有三次以上查无实据的政府采购投诉；</w:t>
      </w:r>
    </w:p>
    <w:p w14:paraId="356E6749">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七、严格遵守信用信息公示相关规定，向社会公示信用信息；</w:t>
      </w:r>
    </w:p>
    <w:p w14:paraId="5157CF36">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八、在“信用中国”和“中国政府采购网”网站中无违法违规、较重或严重失信记录；</w:t>
      </w:r>
    </w:p>
    <w:p w14:paraId="053578FA">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九、如违反承诺，自愿接受管理部门依法给予的行政处罚，同意将违反承诺的行为作为不良记录记入信用档案，依法依规进行信息公示，并承担所产生的一切法律责任和经济损失。</w:t>
      </w:r>
    </w:p>
    <w:p w14:paraId="5A143916">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十、本承诺书自签订之日起生效。</w:t>
      </w:r>
    </w:p>
    <w:p w14:paraId="79D9CD47">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 （注：法定代表人或负责人、主体名称发生变更的应当重新做出承诺。）</w:t>
      </w:r>
    </w:p>
    <w:p w14:paraId="7E33DC4C">
      <w:pPr>
        <w:spacing w:line="360" w:lineRule="auto"/>
        <w:rPr>
          <w:rFonts w:ascii="宋体" w:hAnsi="宋体"/>
          <w:color w:val="auto"/>
          <w:szCs w:val="21"/>
          <w:highlight w:val="none"/>
        </w:rPr>
      </w:pPr>
    </w:p>
    <w:p w14:paraId="52DCAAEC">
      <w:pPr>
        <w:spacing w:line="360" w:lineRule="auto"/>
        <w:jc w:val="center"/>
        <w:rPr>
          <w:rFonts w:ascii="宋体" w:hAnsi="宋体"/>
          <w:color w:val="auto"/>
          <w:szCs w:val="21"/>
          <w:highlight w:val="none"/>
        </w:rPr>
      </w:pPr>
      <w:r>
        <w:rPr>
          <w:rFonts w:hint="eastAsia" w:ascii="宋体" w:hAnsi="宋体"/>
          <w:color w:val="auto"/>
          <w:szCs w:val="21"/>
          <w:highlight w:val="none"/>
        </w:rPr>
        <w:t xml:space="preserve">　　　　　　　　　　                     承诺单位（签章）：           </w:t>
      </w:r>
    </w:p>
    <w:p w14:paraId="3B857803">
      <w:pPr>
        <w:spacing w:line="360" w:lineRule="auto"/>
        <w:jc w:val="center"/>
        <w:rPr>
          <w:rFonts w:ascii="宋体" w:hAnsi="宋体"/>
          <w:color w:val="auto"/>
          <w:szCs w:val="21"/>
          <w:highlight w:val="none"/>
        </w:rPr>
      </w:pPr>
      <w:r>
        <w:rPr>
          <w:rFonts w:hint="eastAsia" w:ascii="宋体" w:hAnsi="宋体"/>
          <w:color w:val="auto"/>
          <w:szCs w:val="21"/>
          <w:highlight w:val="none"/>
        </w:rPr>
        <w:t>　　　　　　　　　   　  法定代表人（负责人）：</w:t>
      </w:r>
    </w:p>
    <w:p w14:paraId="251286DC">
      <w:pPr>
        <w:spacing w:line="360" w:lineRule="auto"/>
        <w:jc w:val="center"/>
        <w:rPr>
          <w:rFonts w:ascii="宋体" w:hAnsi="宋体"/>
          <w:color w:val="auto"/>
          <w:szCs w:val="21"/>
          <w:highlight w:val="none"/>
        </w:rPr>
      </w:pPr>
      <w:r>
        <w:rPr>
          <w:rFonts w:hint="eastAsia" w:ascii="宋体" w:hAnsi="宋体"/>
          <w:color w:val="auto"/>
          <w:szCs w:val="21"/>
          <w:highlight w:val="none"/>
        </w:rPr>
        <w:t>　　　　　　　　　      　年    月    日</w:t>
      </w:r>
    </w:p>
    <w:p w14:paraId="0ACA8150">
      <w:pPr>
        <w:spacing w:line="360" w:lineRule="auto"/>
        <w:rPr>
          <w:rFonts w:ascii="宋体" w:hAnsi="宋体"/>
          <w:b/>
          <w:bCs/>
          <w:color w:val="auto"/>
          <w:highlight w:val="none"/>
        </w:rPr>
      </w:pPr>
      <w:r>
        <w:rPr>
          <w:rFonts w:hint="eastAsia" w:ascii="宋体" w:hAnsi="宋体"/>
          <w:b/>
          <w:bCs/>
          <w:color w:val="auto"/>
          <w:highlight w:val="none"/>
        </w:rPr>
        <w:br w:type="page"/>
      </w:r>
    </w:p>
    <w:p w14:paraId="394A373D">
      <w:pPr>
        <w:spacing w:line="360" w:lineRule="auto"/>
        <w:jc w:val="center"/>
        <w:rPr>
          <w:rFonts w:ascii="宋体" w:hAnsi="宋体"/>
          <w:b/>
          <w:bCs/>
          <w:color w:val="auto"/>
          <w:highlight w:val="none"/>
        </w:rPr>
      </w:pPr>
      <w:r>
        <w:rPr>
          <w:rFonts w:hint="eastAsia" w:ascii="宋体" w:hAnsi="宋体"/>
          <w:b/>
          <w:bCs/>
          <w:color w:val="auto"/>
          <w:highlight w:val="none"/>
        </w:rPr>
        <w:t>投标函格式</w:t>
      </w:r>
    </w:p>
    <w:p w14:paraId="7A2113B7">
      <w:pPr>
        <w:pStyle w:val="28"/>
        <w:spacing w:before="0" w:after="0"/>
        <w:ind w:firstLine="0"/>
        <w:rPr>
          <w:rFonts w:ascii="宋体" w:hAnsi="宋体"/>
          <w:color w:val="auto"/>
          <w:kern w:val="2"/>
          <w:sz w:val="21"/>
          <w:szCs w:val="21"/>
          <w:highlight w:val="none"/>
        </w:rPr>
      </w:pPr>
      <w:r>
        <w:rPr>
          <w:rFonts w:hint="eastAsia" w:ascii="宋体" w:hAnsi="宋体"/>
          <w:color w:val="auto"/>
          <w:kern w:val="2"/>
          <w:sz w:val="21"/>
          <w:szCs w:val="21"/>
          <w:highlight w:val="none"/>
        </w:rPr>
        <w:t>致：</w:t>
      </w:r>
      <w:r>
        <w:rPr>
          <w:rFonts w:hint="eastAsia" w:ascii="宋体" w:hAnsi="宋体"/>
          <w:color w:val="auto"/>
          <w:sz w:val="21"/>
          <w:highlight w:val="none"/>
        </w:rPr>
        <w:t>江苏汇诚投资咨询管理有限公司</w:t>
      </w:r>
    </w:p>
    <w:p w14:paraId="104E1783">
      <w:pPr>
        <w:pStyle w:val="28"/>
        <w:spacing w:before="0" w:after="0"/>
        <w:ind w:firstLine="420" w:firstLineChars="200"/>
        <w:rPr>
          <w:rFonts w:ascii="宋体" w:hAnsi="宋体"/>
          <w:color w:val="auto"/>
          <w:kern w:val="2"/>
          <w:sz w:val="21"/>
          <w:szCs w:val="21"/>
          <w:highlight w:val="none"/>
        </w:rPr>
      </w:pPr>
      <w:r>
        <w:rPr>
          <w:rFonts w:hint="eastAsia" w:ascii="宋体" w:hAnsi="宋体"/>
          <w:color w:val="auto"/>
          <w:kern w:val="2"/>
          <w:sz w:val="21"/>
          <w:szCs w:val="21"/>
          <w:highlight w:val="none"/>
        </w:rPr>
        <w:t>根据贵方的（）号招标文件，正式授权下述签字人_________________(姓名)代表我方______________（投标人的名称），全权处理本次项目投标的有关事宜。</w:t>
      </w:r>
    </w:p>
    <w:p w14:paraId="696EFABD">
      <w:pPr>
        <w:pStyle w:val="28"/>
        <w:spacing w:before="0" w:after="0"/>
        <w:ind w:firstLine="420" w:firstLineChars="200"/>
        <w:rPr>
          <w:rFonts w:ascii="宋体" w:hAnsi="宋体"/>
          <w:color w:val="auto"/>
          <w:kern w:val="2"/>
          <w:sz w:val="21"/>
          <w:szCs w:val="21"/>
          <w:highlight w:val="none"/>
        </w:rPr>
      </w:pPr>
      <w:r>
        <w:rPr>
          <w:rFonts w:hint="eastAsia" w:ascii="宋体" w:hAnsi="宋体"/>
          <w:color w:val="auto"/>
          <w:kern w:val="2"/>
          <w:sz w:val="21"/>
          <w:szCs w:val="21"/>
          <w:highlight w:val="none"/>
        </w:rPr>
        <w:t>据此函，__________签字人（姓名）兹宣布同意如下：</w:t>
      </w:r>
    </w:p>
    <w:p w14:paraId="4162FE53">
      <w:pPr>
        <w:pStyle w:val="28"/>
        <w:spacing w:before="0" w:after="0"/>
        <w:ind w:firstLine="420" w:firstLineChars="200"/>
        <w:rPr>
          <w:rFonts w:ascii="宋体" w:hAnsi="宋体"/>
          <w:color w:val="auto"/>
          <w:kern w:val="2"/>
          <w:sz w:val="21"/>
          <w:szCs w:val="21"/>
          <w:highlight w:val="none"/>
        </w:rPr>
      </w:pPr>
      <w:r>
        <w:rPr>
          <w:rFonts w:hint="eastAsia" w:ascii="宋体" w:hAnsi="宋体"/>
          <w:color w:val="auto"/>
          <w:kern w:val="2"/>
          <w:sz w:val="21"/>
          <w:szCs w:val="21"/>
          <w:highlight w:val="none"/>
        </w:rPr>
        <w:t>1.按招标文件规定的各项要求，向买方提供所需货物与服务。</w:t>
      </w:r>
    </w:p>
    <w:p w14:paraId="33637A57">
      <w:pPr>
        <w:pStyle w:val="28"/>
        <w:spacing w:before="0" w:after="0"/>
        <w:ind w:firstLine="420" w:firstLineChars="200"/>
        <w:rPr>
          <w:rFonts w:ascii="宋体" w:hAnsi="宋体"/>
          <w:color w:val="auto"/>
          <w:kern w:val="2"/>
          <w:sz w:val="21"/>
          <w:szCs w:val="21"/>
          <w:highlight w:val="none"/>
        </w:rPr>
      </w:pPr>
      <w:r>
        <w:rPr>
          <w:rFonts w:hint="eastAsia" w:ascii="宋体" w:hAnsi="宋体"/>
          <w:color w:val="auto"/>
          <w:kern w:val="2"/>
          <w:sz w:val="21"/>
          <w:szCs w:val="21"/>
          <w:highlight w:val="none"/>
        </w:rPr>
        <w:t>2.我们完全理解贵方不一定将合同授予最低报价的投标人。</w:t>
      </w:r>
    </w:p>
    <w:p w14:paraId="25B5C68D">
      <w:pPr>
        <w:pStyle w:val="28"/>
        <w:spacing w:before="0" w:after="0"/>
        <w:ind w:firstLine="420" w:firstLineChars="200"/>
        <w:rPr>
          <w:rFonts w:ascii="宋体" w:hAnsi="宋体"/>
          <w:color w:val="auto"/>
          <w:kern w:val="2"/>
          <w:sz w:val="21"/>
          <w:szCs w:val="21"/>
          <w:highlight w:val="none"/>
        </w:rPr>
      </w:pPr>
      <w:r>
        <w:rPr>
          <w:rFonts w:hint="eastAsia" w:ascii="宋体" w:hAnsi="宋体"/>
          <w:color w:val="auto"/>
          <w:kern w:val="2"/>
          <w:sz w:val="21"/>
          <w:szCs w:val="21"/>
          <w:highlight w:val="none"/>
        </w:rPr>
        <w:t>3.我们已详细审核全部招标文件及其有效补充文件，我们知道必须放弃提出含糊不清或误解问题的权利。</w:t>
      </w:r>
    </w:p>
    <w:p w14:paraId="02CCAB3C">
      <w:pPr>
        <w:pStyle w:val="28"/>
        <w:spacing w:before="0" w:after="0"/>
        <w:rPr>
          <w:rFonts w:ascii="宋体" w:hAnsi="宋体"/>
          <w:color w:val="auto"/>
          <w:kern w:val="2"/>
          <w:sz w:val="21"/>
          <w:szCs w:val="21"/>
          <w:highlight w:val="none"/>
        </w:rPr>
      </w:pPr>
      <w:r>
        <w:rPr>
          <w:rFonts w:hint="eastAsia" w:ascii="宋体" w:hAnsi="宋体"/>
          <w:color w:val="auto"/>
          <w:kern w:val="2"/>
          <w:sz w:val="21"/>
          <w:szCs w:val="21"/>
          <w:highlight w:val="none"/>
        </w:rPr>
        <w:t>4.我们同意从规定的开标日期起遵循本投标文件，并在规定的投标有效期期满之前均具有约束力。</w:t>
      </w:r>
    </w:p>
    <w:p w14:paraId="7A976E00">
      <w:pPr>
        <w:pStyle w:val="28"/>
        <w:spacing w:before="0" w:after="0"/>
        <w:rPr>
          <w:rFonts w:ascii="宋体" w:hAnsi="宋体"/>
          <w:color w:val="auto"/>
          <w:kern w:val="2"/>
          <w:sz w:val="21"/>
          <w:szCs w:val="21"/>
          <w:highlight w:val="none"/>
        </w:rPr>
      </w:pPr>
      <w:r>
        <w:rPr>
          <w:rFonts w:hint="eastAsia" w:ascii="宋体" w:hAnsi="宋体"/>
          <w:color w:val="auto"/>
          <w:kern w:val="2"/>
          <w:sz w:val="21"/>
          <w:szCs w:val="21"/>
          <w:highlight w:val="none"/>
        </w:rPr>
        <w:t>5.同意向贵方提供贵方可能另外要求的与投标有关的任何证据或资料，并保证我方已提供和将要提供的文件是真实的、准确的。</w:t>
      </w:r>
    </w:p>
    <w:p w14:paraId="38A91FC0">
      <w:pPr>
        <w:pStyle w:val="28"/>
        <w:spacing w:before="0" w:after="0"/>
        <w:rPr>
          <w:rFonts w:ascii="宋体" w:hAnsi="宋体"/>
          <w:color w:val="auto"/>
          <w:kern w:val="2"/>
          <w:sz w:val="21"/>
          <w:szCs w:val="21"/>
          <w:highlight w:val="none"/>
        </w:rPr>
      </w:pPr>
      <w:r>
        <w:rPr>
          <w:rFonts w:hint="eastAsia" w:ascii="宋体" w:hAnsi="宋体"/>
          <w:color w:val="auto"/>
          <w:kern w:val="2"/>
          <w:sz w:val="21"/>
          <w:szCs w:val="21"/>
          <w:highlight w:val="none"/>
        </w:rPr>
        <w:t>6.一旦我方中标,我方将根据招标文件的规定，严格履行合同的责任和义务,并保证在招标文件规定的时间完成项目，交付买方验收、使用。</w:t>
      </w:r>
    </w:p>
    <w:p w14:paraId="71425587">
      <w:pPr>
        <w:pStyle w:val="28"/>
        <w:spacing w:before="0" w:after="0"/>
        <w:ind w:left="425" w:firstLine="105" w:firstLineChars="50"/>
        <w:rPr>
          <w:rFonts w:ascii="宋体" w:hAnsi="宋体"/>
          <w:color w:val="auto"/>
          <w:kern w:val="2"/>
          <w:sz w:val="21"/>
          <w:szCs w:val="21"/>
          <w:highlight w:val="none"/>
        </w:rPr>
      </w:pPr>
      <w:r>
        <w:rPr>
          <w:rFonts w:hint="eastAsia" w:ascii="宋体" w:hAnsi="宋体"/>
          <w:color w:val="auto"/>
          <w:kern w:val="2"/>
          <w:sz w:val="21"/>
          <w:szCs w:val="21"/>
          <w:highlight w:val="none"/>
        </w:rPr>
        <w:t>7.与本投标有关的正式通讯地址为：</w:t>
      </w:r>
    </w:p>
    <w:p w14:paraId="2855859D">
      <w:pPr>
        <w:pStyle w:val="28"/>
        <w:spacing w:before="0" w:after="0"/>
        <w:ind w:firstLine="478" w:firstLineChars="228"/>
        <w:rPr>
          <w:rFonts w:ascii="宋体" w:hAnsi="宋体"/>
          <w:color w:val="auto"/>
          <w:kern w:val="2"/>
          <w:sz w:val="21"/>
          <w:szCs w:val="21"/>
          <w:highlight w:val="none"/>
        </w:rPr>
      </w:pPr>
      <w:r>
        <w:rPr>
          <w:rFonts w:hint="eastAsia" w:ascii="宋体" w:hAnsi="宋体"/>
          <w:color w:val="auto"/>
          <w:kern w:val="2"/>
          <w:sz w:val="21"/>
          <w:szCs w:val="21"/>
          <w:highlight w:val="none"/>
        </w:rPr>
        <w:t>地 址：</w:t>
      </w:r>
    </w:p>
    <w:p w14:paraId="65A3B34C">
      <w:pPr>
        <w:pStyle w:val="28"/>
        <w:spacing w:before="0" w:after="0"/>
        <w:ind w:firstLine="478" w:firstLineChars="228"/>
        <w:rPr>
          <w:rFonts w:ascii="宋体" w:hAnsi="宋体"/>
          <w:color w:val="auto"/>
          <w:kern w:val="2"/>
          <w:sz w:val="21"/>
          <w:szCs w:val="21"/>
          <w:highlight w:val="none"/>
        </w:rPr>
      </w:pPr>
      <w:r>
        <w:rPr>
          <w:rFonts w:hint="eastAsia" w:ascii="宋体" w:hAnsi="宋体"/>
          <w:color w:val="auto"/>
          <w:kern w:val="2"/>
          <w:sz w:val="21"/>
          <w:szCs w:val="21"/>
          <w:highlight w:val="none"/>
        </w:rPr>
        <w:t>邮 编：</w:t>
      </w:r>
    </w:p>
    <w:p w14:paraId="14525FF8">
      <w:pPr>
        <w:pStyle w:val="28"/>
        <w:spacing w:before="0" w:after="0"/>
        <w:ind w:firstLine="478" w:firstLineChars="228"/>
        <w:rPr>
          <w:rFonts w:ascii="宋体" w:hAnsi="宋体"/>
          <w:color w:val="auto"/>
          <w:kern w:val="2"/>
          <w:sz w:val="21"/>
          <w:szCs w:val="21"/>
          <w:highlight w:val="none"/>
        </w:rPr>
      </w:pPr>
      <w:r>
        <w:rPr>
          <w:rFonts w:hint="eastAsia" w:ascii="宋体" w:hAnsi="宋体"/>
          <w:color w:val="auto"/>
          <w:kern w:val="2"/>
          <w:sz w:val="21"/>
          <w:szCs w:val="21"/>
          <w:highlight w:val="none"/>
        </w:rPr>
        <w:t xml:space="preserve">电 话： </w:t>
      </w:r>
    </w:p>
    <w:p w14:paraId="5B2A73F7">
      <w:pPr>
        <w:pStyle w:val="28"/>
        <w:spacing w:before="0" w:after="0"/>
        <w:ind w:firstLine="478" w:firstLineChars="228"/>
        <w:rPr>
          <w:rFonts w:ascii="宋体" w:hAnsi="宋体"/>
          <w:color w:val="auto"/>
          <w:kern w:val="2"/>
          <w:sz w:val="21"/>
          <w:szCs w:val="21"/>
          <w:highlight w:val="none"/>
        </w:rPr>
      </w:pPr>
      <w:r>
        <w:rPr>
          <w:rFonts w:hint="eastAsia" w:ascii="宋体" w:hAnsi="宋体"/>
          <w:color w:val="auto"/>
          <w:kern w:val="2"/>
          <w:sz w:val="21"/>
          <w:szCs w:val="21"/>
          <w:highlight w:val="none"/>
        </w:rPr>
        <w:t xml:space="preserve">传 真： </w:t>
      </w:r>
    </w:p>
    <w:p w14:paraId="2290EE40">
      <w:pPr>
        <w:pStyle w:val="28"/>
        <w:spacing w:before="0" w:after="0"/>
        <w:ind w:firstLine="478" w:firstLineChars="228"/>
        <w:rPr>
          <w:rFonts w:ascii="宋体" w:hAnsi="宋体"/>
          <w:color w:val="auto"/>
          <w:kern w:val="2"/>
          <w:sz w:val="21"/>
          <w:szCs w:val="21"/>
          <w:highlight w:val="none"/>
        </w:rPr>
      </w:pPr>
      <w:r>
        <w:rPr>
          <w:rFonts w:hint="eastAsia" w:ascii="宋体" w:hAnsi="宋体"/>
          <w:color w:val="auto"/>
          <w:kern w:val="2"/>
          <w:sz w:val="21"/>
          <w:szCs w:val="21"/>
          <w:highlight w:val="none"/>
        </w:rPr>
        <w:t>投标人开户行：</w:t>
      </w:r>
    </w:p>
    <w:p w14:paraId="30D81230">
      <w:pPr>
        <w:pStyle w:val="28"/>
        <w:spacing w:before="0" w:after="0"/>
        <w:ind w:firstLine="478" w:firstLineChars="228"/>
        <w:rPr>
          <w:rFonts w:ascii="宋体" w:hAnsi="宋体"/>
          <w:color w:val="auto"/>
          <w:kern w:val="2"/>
          <w:sz w:val="21"/>
          <w:szCs w:val="21"/>
          <w:highlight w:val="none"/>
        </w:rPr>
      </w:pPr>
      <w:r>
        <w:rPr>
          <w:rFonts w:hint="eastAsia" w:ascii="宋体" w:hAnsi="宋体"/>
          <w:color w:val="auto"/>
          <w:kern w:val="2"/>
          <w:sz w:val="21"/>
          <w:szCs w:val="21"/>
          <w:highlight w:val="none"/>
        </w:rPr>
        <w:t xml:space="preserve">账 户： </w:t>
      </w:r>
    </w:p>
    <w:p w14:paraId="5ECC0C54">
      <w:pPr>
        <w:pStyle w:val="28"/>
        <w:spacing w:before="0" w:after="0"/>
        <w:ind w:firstLine="478" w:firstLineChars="228"/>
        <w:rPr>
          <w:rFonts w:ascii="宋体" w:hAnsi="宋体"/>
          <w:color w:val="auto"/>
          <w:kern w:val="2"/>
          <w:sz w:val="21"/>
          <w:szCs w:val="21"/>
          <w:highlight w:val="none"/>
        </w:rPr>
      </w:pPr>
      <w:r>
        <w:rPr>
          <w:rFonts w:hint="eastAsia" w:ascii="宋体" w:hAnsi="宋体"/>
          <w:color w:val="auto"/>
          <w:kern w:val="2"/>
          <w:sz w:val="21"/>
          <w:szCs w:val="21"/>
          <w:highlight w:val="none"/>
        </w:rPr>
        <w:t>行 号：</w:t>
      </w:r>
    </w:p>
    <w:p w14:paraId="677E1A9E">
      <w:pPr>
        <w:pStyle w:val="28"/>
        <w:spacing w:before="0" w:after="0"/>
        <w:ind w:firstLine="478" w:firstLineChars="228"/>
        <w:rPr>
          <w:rFonts w:ascii="宋体" w:hAnsi="宋体"/>
          <w:color w:val="auto"/>
          <w:kern w:val="2"/>
          <w:sz w:val="21"/>
          <w:szCs w:val="21"/>
          <w:highlight w:val="none"/>
        </w:rPr>
      </w:pPr>
      <w:r>
        <w:rPr>
          <w:rFonts w:ascii="宋体" w:hAnsi="宋体"/>
          <w:color w:val="auto"/>
          <w:kern w:val="2"/>
          <w:sz w:val="21"/>
          <w:szCs w:val="21"/>
          <w:highlight w:val="none"/>
        </w:rPr>
        <w:t>法定代表人或授权代表（签字）：</w:t>
      </w:r>
    </w:p>
    <w:p w14:paraId="7B2A47CB">
      <w:pPr>
        <w:pStyle w:val="28"/>
        <w:spacing w:before="0" w:after="0"/>
        <w:ind w:firstLine="478" w:firstLineChars="228"/>
        <w:rPr>
          <w:rFonts w:ascii="宋体" w:hAnsi="宋体"/>
          <w:color w:val="auto"/>
          <w:kern w:val="2"/>
          <w:sz w:val="21"/>
          <w:szCs w:val="21"/>
          <w:highlight w:val="none"/>
        </w:rPr>
      </w:pPr>
      <w:r>
        <w:rPr>
          <w:rFonts w:ascii="宋体" w:hAnsi="宋体"/>
          <w:color w:val="auto"/>
          <w:kern w:val="2"/>
          <w:sz w:val="21"/>
          <w:szCs w:val="21"/>
          <w:highlight w:val="none"/>
        </w:rPr>
        <w:t>投标人名称（公章）：</w:t>
      </w:r>
    </w:p>
    <w:p w14:paraId="48CDCBCD">
      <w:pPr>
        <w:pStyle w:val="28"/>
        <w:spacing w:before="0" w:after="0"/>
        <w:ind w:firstLine="478" w:firstLineChars="228"/>
        <w:rPr>
          <w:rFonts w:ascii="宋体" w:hAnsi="宋体"/>
          <w:color w:val="auto"/>
          <w:kern w:val="2"/>
          <w:sz w:val="21"/>
          <w:szCs w:val="21"/>
          <w:highlight w:val="none"/>
        </w:rPr>
      </w:pPr>
      <w:r>
        <w:rPr>
          <w:rFonts w:hint="eastAsia" w:ascii="宋体" w:hAnsi="宋体"/>
          <w:color w:val="auto"/>
          <w:kern w:val="2"/>
          <w:sz w:val="21"/>
          <w:szCs w:val="21"/>
          <w:highlight w:val="none"/>
        </w:rPr>
        <w:t>日 期：________年____月____日</w:t>
      </w:r>
    </w:p>
    <w:p w14:paraId="412C0E30">
      <w:pPr>
        <w:adjustRightInd w:val="0"/>
        <w:spacing w:line="360" w:lineRule="auto"/>
        <w:contextualSpacing/>
        <w:rPr>
          <w:rFonts w:ascii="宋体" w:hAnsi="宋体"/>
          <w:b/>
          <w:bCs/>
          <w:color w:val="auto"/>
          <w:sz w:val="32"/>
          <w:szCs w:val="32"/>
          <w:highlight w:val="none"/>
        </w:rPr>
      </w:pPr>
    </w:p>
    <w:p w14:paraId="0A4A4BEB">
      <w:pPr>
        <w:spacing w:line="360" w:lineRule="auto"/>
        <w:rPr>
          <w:rFonts w:ascii="宋体" w:hAnsi="宋体"/>
          <w:b/>
          <w:color w:val="auto"/>
          <w:sz w:val="32"/>
          <w:szCs w:val="32"/>
          <w:highlight w:val="none"/>
        </w:rPr>
      </w:pPr>
      <w:r>
        <w:rPr>
          <w:rFonts w:hint="eastAsia" w:ascii="宋体" w:hAnsi="宋体"/>
          <w:b/>
          <w:color w:val="auto"/>
          <w:sz w:val="32"/>
          <w:szCs w:val="32"/>
          <w:highlight w:val="none"/>
        </w:rPr>
        <w:br w:type="page"/>
      </w:r>
    </w:p>
    <w:p w14:paraId="43853F1A">
      <w:pPr>
        <w:pStyle w:val="29"/>
        <w:spacing w:after="312" w:afterLines="100" w:line="360" w:lineRule="auto"/>
        <w:ind w:firstLine="422"/>
        <w:jc w:val="center"/>
        <w:rPr>
          <w:rFonts w:ascii="宋体" w:hAnsi="宋体"/>
          <w:b/>
          <w:color w:val="auto"/>
          <w:sz w:val="21"/>
          <w:szCs w:val="21"/>
          <w:highlight w:val="none"/>
        </w:rPr>
      </w:pPr>
      <w:r>
        <w:rPr>
          <w:rFonts w:hint="eastAsia" w:ascii="宋体" w:hAnsi="宋体"/>
          <w:b/>
          <w:color w:val="auto"/>
          <w:sz w:val="21"/>
          <w:szCs w:val="21"/>
          <w:highlight w:val="none"/>
        </w:rPr>
        <w:t>法人授权书</w:t>
      </w:r>
    </w:p>
    <w:p w14:paraId="615C042E">
      <w:pPr>
        <w:pStyle w:val="29"/>
        <w:spacing w:line="360" w:lineRule="auto"/>
        <w:ind w:firstLine="420"/>
        <w:rPr>
          <w:rFonts w:ascii="宋体" w:hAnsi="宋体"/>
          <w:color w:val="auto"/>
          <w:sz w:val="21"/>
          <w:szCs w:val="21"/>
          <w:highlight w:val="none"/>
        </w:rPr>
      </w:pPr>
      <w:r>
        <w:rPr>
          <w:rFonts w:hint="eastAsia" w:ascii="宋体" w:hAnsi="宋体"/>
          <w:color w:val="auto"/>
          <w:sz w:val="21"/>
          <w:szCs w:val="21"/>
          <w:highlight w:val="none"/>
        </w:rPr>
        <w:t>本授权书声明：</w:t>
      </w:r>
      <w:r>
        <w:rPr>
          <w:rFonts w:ascii="宋体" w:hAnsi="宋体"/>
          <w:color w:val="auto"/>
          <w:sz w:val="21"/>
          <w:szCs w:val="21"/>
          <w:highlight w:val="none"/>
        </w:rPr>
        <w:t>________________</w:t>
      </w:r>
      <w:r>
        <w:rPr>
          <w:rFonts w:hint="eastAsia" w:ascii="宋体" w:hAnsi="宋体"/>
          <w:color w:val="auto"/>
          <w:sz w:val="21"/>
          <w:szCs w:val="21"/>
          <w:highlight w:val="none"/>
        </w:rPr>
        <w:t>（投标人名称）授权</w:t>
      </w:r>
      <w:r>
        <w:rPr>
          <w:rFonts w:ascii="宋体" w:hAnsi="宋体"/>
          <w:color w:val="auto"/>
          <w:sz w:val="21"/>
          <w:szCs w:val="21"/>
          <w:highlight w:val="none"/>
        </w:rPr>
        <w:t>________________</w:t>
      </w:r>
      <w:r>
        <w:rPr>
          <w:rFonts w:hint="eastAsia" w:ascii="宋体" w:hAnsi="宋体"/>
          <w:color w:val="auto"/>
          <w:sz w:val="21"/>
          <w:szCs w:val="21"/>
          <w:highlight w:val="none"/>
        </w:rPr>
        <w:t>（被授权人的姓名）为我方就（项目编号）号（项目名称）项目采购活动的合法代理人，以本公司名义全权处理一切与该项目采购有关的事务。</w:t>
      </w:r>
    </w:p>
    <w:p w14:paraId="0736E1E2">
      <w:pPr>
        <w:pStyle w:val="29"/>
        <w:spacing w:line="360" w:lineRule="auto"/>
        <w:ind w:firstLine="420"/>
        <w:rPr>
          <w:rFonts w:ascii="宋体" w:hAnsi="宋体"/>
          <w:color w:val="auto"/>
          <w:sz w:val="21"/>
          <w:szCs w:val="21"/>
          <w:highlight w:val="none"/>
        </w:rPr>
      </w:pPr>
      <w:r>
        <w:rPr>
          <w:rFonts w:hint="eastAsia" w:ascii="宋体" w:hAnsi="宋体"/>
          <w:color w:val="auto"/>
          <w:sz w:val="21"/>
          <w:szCs w:val="21"/>
          <w:highlight w:val="none"/>
        </w:rPr>
        <w:t>本授权书于</w:t>
      </w:r>
      <w:r>
        <w:rPr>
          <w:rFonts w:ascii="宋体" w:hAnsi="宋体"/>
          <w:color w:val="auto"/>
          <w:sz w:val="21"/>
          <w:szCs w:val="21"/>
          <w:highlight w:val="none"/>
        </w:rPr>
        <w:t>______</w:t>
      </w:r>
      <w:r>
        <w:rPr>
          <w:rFonts w:hint="eastAsia" w:ascii="宋体" w:hAnsi="宋体"/>
          <w:color w:val="auto"/>
          <w:sz w:val="21"/>
          <w:szCs w:val="21"/>
          <w:highlight w:val="none"/>
        </w:rPr>
        <w:t>年</w:t>
      </w:r>
      <w:r>
        <w:rPr>
          <w:rFonts w:ascii="宋体" w:hAnsi="宋体"/>
          <w:color w:val="auto"/>
          <w:sz w:val="21"/>
          <w:szCs w:val="21"/>
          <w:highlight w:val="none"/>
        </w:rPr>
        <w:t>____</w:t>
      </w:r>
      <w:r>
        <w:rPr>
          <w:rFonts w:hint="eastAsia" w:ascii="宋体" w:hAnsi="宋体"/>
          <w:color w:val="auto"/>
          <w:sz w:val="21"/>
          <w:szCs w:val="21"/>
          <w:highlight w:val="none"/>
        </w:rPr>
        <w:t>月</w:t>
      </w:r>
      <w:r>
        <w:rPr>
          <w:rFonts w:ascii="宋体" w:hAnsi="宋体"/>
          <w:color w:val="auto"/>
          <w:sz w:val="21"/>
          <w:szCs w:val="21"/>
          <w:highlight w:val="none"/>
        </w:rPr>
        <w:t>____</w:t>
      </w:r>
      <w:r>
        <w:rPr>
          <w:rFonts w:hint="eastAsia" w:ascii="宋体" w:hAnsi="宋体"/>
          <w:color w:val="auto"/>
          <w:sz w:val="21"/>
          <w:szCs w:val="21"/>
          <w:highlight w:val="none"/>
        </w:rPr>
        <w:t>日起生效，特此声明。</w:t>
      </w:r>
    </w:p>
    <w:p w14:paraId="1B90D872">
      <w:pPr>
        <w:pStyle w:val="29"/>
        <w:spacing w:line="360" w:lineRule="auto"/>
        <w:ind w:firstLine="0" w:firstLineChars="0"/>
        <w:rPr>
          <w:rFonts w:ascii="宋体" w:hAnsi="宋体"/>
          <w:color w:val="auto"/>
          <w:sz w:val="21"/>
          <w:szCs w:val="21"/>
          <w:highlight w:val="none"/>
        </w:rPr>
      </w:pPr>
    </w:p>
    <w:p w14:paraId="4C92B097">
      <w:pPr>
        <w:pStyle w:val="29"/>
        <w:spacing w:line="360" w:lineRule="auto"/>
        <w:ind w:firstLine="420"/>
        <w:rPr>
          <w:rFonts w:ascii="宋体" w:hAnsi="宋体"/>
          <w:color w:val="auto"/>
          <w:sz w:val="21"/>
          <w:szCs w:val="21"/>
          <w:highlight w:val="none"/>
        </w:rPr>
      </w:pPr>
      <w:r>
        <w:rPr>
          <w:rFonts w:ascii="宋体" w:hAnsi="宋体"/>
          <w:color w:val="auto"/>
          <w:sz w:val="21"/>
          <w:szCs w:val="21"/>
          <w:highlight w:val="none"/>
        </w:rPr>
        <w:t>被授权人签字：_______________________</w:t>
      </w:r>
    </w:p>
    <w:p w14:paraId="058319CB">
      <w:pPr>
        <w:pStyle w:val="29"/>
        <w:spacing w:line="360" w:lineRule="auto"/>
        <w:ind w:firstLine="420"/>
        <w:rPr>
          <w:rFonts w:ascii="宋体" w:hAnsi="宋体"/>
          <w:color w:val="auto"/>
          <w:sz w:val="21"/>
          <w:szCs w:val="21"/>
          <w:highlight w:val="none"/>
          <w:u w:val="single"/>
        </w:rPr>
      </w:pPr>
      <w:r>
        <w:rPr>
          <w:rFonts w:hint="eastAsia" w:ascii="宋体" w:hAnsi="宋体"/>
          <w:color w:val="auto"/>
          <w:sz w:val="21"/>
          <w:szCs w:val="21"/>
          <w:highlight w:val="none"/>
        </w:rPr>
        <w:t>联系电话（手机）：</w:t>
      </w:r>
    </w:p>
    <w:p w14:paraId="2268CFA0">
      <w:pPr>
        <w:pStyle w:val="29"/>
        <w:spacing w:line="360" w:lineRule="auto"/>
        <w:ind w:firstLine="420" w:firstLineChars="0"/>
        <w:rPr>
          <w:rFonts w:ascii="宋体" w:hAnsi="宋体"/>
          <w:color w:val="auto"/>
          <w:sz w:val="21"/>
          <w:szCs w:val="21"/>
          <w:highlight w:val="none"/>
        </w:rPr>
      </w:pPr>
      <w:r>
        <w:rPr>
          <w:rFonts w:hint="eastAsia" w:ascii="宋体" w:hAnsi="宋体"/>
          <w:color w:val="auto"/>
          <w:sz w:val="21"/>
          <w:szCs w:val="21"/>
          <w:highlight w:val="none"/>
        </w:rPr>
        <w:t>单位名称：</w:t>
      </w:r>
      <w:r>
        <w:rPr>
          <w:rFonts w:ascii="宋体" w:hAnsi="宋体"/>
          <w:color w:val="auto"/>
          <w:sz w:val="21"/>
          <w:szCs w:val="21"/>
          <w:highlight w:val="none"/>
        </w:rPr>
        <w:t>____________________________________</w:t>
      </w:r>
    </w:p>
    <w:p w14:paraId="293CFF94">
      <w:pPr>
        <w:pStyle w:val="29"/>
        <w:spacing w:line="360" w:lineRule="auto"/>
        <w:ind w:firstLine="420" w:firstLineChars="0"/>
        <w:rPr>
          <w:rFonts w:ascii="宋体" w:hAnsi="宋体"/>
          <w:color w:val="auto"/>
          <w:sz w:val="21"/>
          <w:szCs w:val="21"/>
          <w:highlight w:val="none"/>
        </w:rPr>
      </w:pPr>
      <w:r>
        <w:rPr>
          <w:rFonts w:hint="eastAsia" w:ascii="宋体" w:hAnsi="宋体"/>
          <w:color w:val="auto"/>
          <w:sz w:val="21"/>
          <w:szCs w:val="21"/>
          <w:highlight w:val="none"/>
        </w:rPr>
        <w:t>授权单位盖章：</w:t>
      </w:r>
      <w:r>
        <w:rPr>
          <w:rFonts w:ascii="宋体" w:hAnsi="宋体"/>
          <w:color w:val="auto"/>
          <w:sz w:val="21"/>
          <w:szCs w:val="21"/>
          <w:highlight w:val="none"/>
        </w:rPr>
        <w:t>_________________________________</w:t>
      </w:r>
    </w:p>
    <w:p w14:paraId="46A8AA3B">
      <w:pPr>
        <w:pStyle w:val="29"/>
        <w:spacing w:line="360" w:lineRule="auto"/>
        <w:ind w:firstLine="420"/>
        <w:rPr>
          <w:rFonts w:ascii="宋体" w:hAnsi="宋体"/>
          <w:color w:val="auto"/>
          <w:sz w:val="21"/>
          <w:szCs w:val="21"/>
          <w:highlight w:val="none"/>
          <w:u w:val="single"/>
        </w:rPr>
      </w:pPr>
      <w:r>
        <w:rPr>
          <w:rFonts w:hint="eastAsia" w:ascii="宋体" w:hAnsi="宋体"/>
          <w:color w:val="auto"/>
          <w:sz w:val="21"/>
          <w:szCs w:val="21"/>
          <w:highlight w:val="none"/>
        </w:rPr>
        <w:t>单位地址：</w:t>
      </w:r>
    </w:p>
    <w:p w14:paraId="3A6BF713">
      <w:pPr>
        <w:pStyle w:val="29"/>
        <w:spacing w:line="360" w:lineRule="auto"/>
        <w:ind w:firstLine="420"/>
        <w:rPr>
          <w:rFonts w:ascii="宋体" w:hAnsi="宋体"/>
          <w:color w:val="auto"/>
          <w:sz w:val="21"/>
          <w:szCs w:val="21"/>
          <w:highlight w:val="none"/>
        </w:rPr>
      </w:pPr>
      <w:r>
        <w:rPr>
          <w:rFonts w:hint="eastAsia" w:ascii="宋体" w:hAnsi="宋体"/>
          <w:color w:val="auto"/>
          <w:sz w:val="21"/>
          <w:szCs w:val="21"/>
          <w:highlight w:val="none"/>
        </w:rPr>
        <w:t>日期：</w:t>
      </w:r>
    </w:p>
    <w:p w14:paraId="3B6218F7">
      <w:pPr>
        <w:spacing w:line="360" w:lineRule="auto"/>
        <w:rPr>
          <w:rFonts w:ascii="宋体" w:hAnsi="宋体"/>
          <w:bCs/>
          <w:color w:val="auto"/>
          <w:highlight w:val="none"/>
        </w:rPr>
      </w:pPr>
    </w:p>
    <w:p w14:paraId="1AB88E54">
      <w:pPr>
        <w:spacing w:line="360" w:lineRule="auto"/>
        <w:rPr>
          <w:rFonts w:ascii="宋体" w:hAnsi="宋体"/>
          <w:bCs/>
          <w:color w:val="auto"/>
          <w:sz w:val="24"/>
          <w:highlight w:val="none"/>
        </w:rPr>
      </w:pPr>
    </w:p>
    <w:p w14:paraId="38A0B7FF">
      <w:pPr>
        <w:spacing w:line="360" w:lineRule="auto"/>
        <w:ind w:firstLine="420" w:firstLineChars="200"/>
        <w:rPr>
          <w:rFonts w:ascii="宋体" w:hAnsi="宋体"/>
          <w:bCs/>
          <w:color w:val="auto"/>
          <w:highlight w:val="none"/>
        </w:rPr>
        <w:sectPr>
          <w:pgSz w:w="11906" w:h="16838"/>
          <w:pgMar w:top="1440" w:right="1800" w:bottom="1440" w:left="1800" w:header="851" w:footer="992" w:gutter="0"/>
          <w:cols w:space="720" w:num="1"/>
          <w:docGrid w:type="lines" w:linePitch="312" w:charSpace="0"/>
        </w:sectPr>
      </w:pPr>
      <w:r>
        <w:rPr>
          <w:rFonts w:hint="eastAsia" w:ascii="宋体" w:hAnsi="宋体"/>
          <w:bCs/>
          <w:color w:val="auto"/>
          <w:highlight w:val="none"/>
        </w:rPr>
        <w:t>被授权人身份证复印件</w:t>
      </w:r>
    </w:p>
    <w:p w14:paraId="3BC8F35C">
      <w:pPr>
        <w:pStyle w:val="3"/>
        <w:spacing w:line="360" w:lineRule="auto"/>
        <w:rPr>
          <w:rFonts w:ascii="宋体" w:hAnsi="宋体" w:eastAsia="宋体"/>
          <w:color w:val="auto"/>
          <w:sz w:val="32"/>
          <w:highlight w:val="none"/>
        </w:rPr>
      </w:pPr>
      <w:r>
        <w:rPr>
          <w:rFonts w:hint="eastAsia" w:ascii="宋体" w:hAnsi="宋体" w:eastAsia="宋体"/>
          <w:color w:val="auto"/>
          <w:sz w:val="32"/>
          <w:highlight w:val="none"/>
        </w:rPr>
        <w:t>二、符合性审查响应对照表</w:t>
      </w:r>
    </w:p>
    <w:p w14:paraId="45DF8D9D">
      <w:pPr>
        <w:spacing w:line="360" w:lineRule="auto"/>
        <w:rPr>
          <w:rFonts w:ascii="宋体" w:hAnsi="宋体"/>
          <w:b/>
          <w:color w:val="auto"/>
          <w:sz w:val="32"/>
          <w:szCs w:val="32"/>
          <w:highlight w:val="none"/>
        </w:rPr>
      </w:pPr>
    </w:p>
    <w:tbl>
      <w:tblPr>
        <w:tblStyle w:val="21"/>
        <w:tblW w:w="908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5447"/>
        <w:gridCol w:w="1680"/>
        <w:gridCol w:w="1308"/>
      </w:tblGrid>
      <w:tr w14:paraId="13A89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1A282BD2">
            <w:pPr>
              <w:snapToGrid w:val="0"/>
              <w:spacing w:line="360" w:lineRule="auto"/>
              <w:jc w:val="center"/>
              <w:rPr>
                <w:rFonts w:ascii="宋体" w:hAnsi="宋体"/>
                <w:b/>
                <w:color w:val="auto"/>
                <w:szCs w:val="21"/>
                <w:highlight w:val="none"/>
              </w:rPr>
            </w:pPr>
            <w:r>
              <w:rPr>
                <w:rFonts w:hint="eastAsia" w:ascii="宋体" w:hAnsi="宋体" w:cs="宋体"/>
                <w:b/>
                <w:color w:val="auto"/>
                <w:szCs w:val="21"/>
                <w:highlight w:val="none"/>
              </w:rPr>
              <w:t>序号</w:t>
            </w:r>
          </w:p>
        </w:tc>
        <w:tc>
          <w:tcPr>
            <w:tcW w:w="5447" w:type="dxa"/>
            <w:vAlign w:val="center"/>
          </w:tcPr>
          <w:p w14:paraId="510D3943">
            <w:pPr>
              <w:snapToGrid w:val="0"/>
              <w:spacing w:line="360" w:lineRule="auto"/>
              <w:jc w:val="center"/>
              <w:rPr>
                <w:rFonts w:ascii="宋体" w:hAnsi="宋体"/>
                <w:b/>
                <w:color w:val="auto"/>
                <w:szCs w:val="21"/>
                <w:highlight w:val="none"/>
              </w:rPr>
            </w:pPr>
            <w:r>
              <w:rPr>
                <w:rFonts w:hint="eastAsia" w:ascii="宋体" w:hAnsi="宋体" w:cs="宋体"/>
                <w:b/>
                <w:color w:val="auto"/>
                <w:szCs w:val="21"/>
                <w:highlight w:val="none"/>
              </w:rPr>
              <w:t>符合性审查响应内容</w:t>
            </w:r>
          </w:p>
        </w:tc>
        <w:tc>
          <w:tcPr>
            <w:tcW w:w="1680" w:type="dxa"/>
            <w:vAlign w:val="center"/>
          </w:tcPr>
          <w:p w14:paraId="5670E08D">
            <w:pPr>
              <w:snapToGrid w:val="0"/>
              <w:spacing w:line="360" w:lineRule="auto"/>
              <w:jc w:val="center"/>
              <w:rPr>
                <w:rFonts w:ascii="宋体" w:hAnsi="宋体" w:cs="宋体"/>
                <w:b/>
                <w:color w:val="auto"/>
                <w:szCs w:val="21"/>
                <w:highlight w:val="none"/>
              </w:rPr>
            </w:pPr>
            <w:r>
              <w:rPr>
                <w:rFonts w:hint="eastAsia" w:ascii="宋体" w:hAnsi="宋体" w:cs="宋体"/>
                <w:b/>
                <w:color w:val="auto"/>
                <w:szCs w:val="21"/>
                <w:highlight w:val="none"/>
              </w:rPr>
              <w:t>是否响应</w:t>
            </w:r>
          </w:p>
          <w:p w14:paraId="102847BB">
            <w:pPr>
              <w:snapToGrid w:val="0"/>
              <w:spacing w:line="360" w:lineRule="auto"/>
              <w:jc w:val="center"/>
              <w:rPr>
                <w:rFonts w:ascii="宋体" w:hAnsi="宋体"/>
                <w:b/>
                <w:color w:val="auto"/>
                <w:szCs w:val="21"/>
                <w:highlight w:val="none"/>
              </w:rPr>
            </w:pPr>
            <w:r>
              <w:rPr>
                <w:rFonts w:hint="eastAsia" w:ascii="宋体" w:hAnsi="宋体" w:cs="宋体"/>
                <w:b/>
                <w:color w:val="auto"/>
                <w:szCs w:val="21"/>
                <w:highlight w:val="none"/>
              </w:rPr>
              <w:t>（填是或者否）</w:t>
            </w:r>
          </w:p>
        </w:tc>
        <w:tc>
          <w:tcPr>
            <w:tcW w:w="1308" w:type="dxa"/>
            <w:vAlign w:val="center"/>
          </w:tcPr>
          <w:p w14:paraId="730525AA">
            <w:pPr>
              <w:snapToGrid w:val="0"/>
              <w:spacing w:line="360" w:lineRule="auto"/>
              <w:jc w:val="center"/>
              <w:rPr>
                <w:rFonts w:ascii="宋体" w:hAnsi="宋体"/>
                <w:b/>
                <w:color w:val="auto"/>
                <w:szCs w:val="21"/>
                <w:highlight w:val="none"/>
              </w:rPr>
            </w:pPr>
            <w:r>
              <w:rPr>
                <w:rFonts w:hint="eastAsia" w:ascii="宋体" w:hAnsi="宋体" w:cs="宋体"/>
                <w:b/>
                <w:color w:val="auto"/>
                <w:szCs w:val="21"/>
                <w:highlight w:val="none"/>
              </w:rPr>
              <w:t>响应情况</w:t>
            </w:r>
          </w:p>
        </w:tc>
      </w:tr>
      <w:tr w14:paraId="2AF0BB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646" w:type="dxa"/>
            <w:vAlign w:val="center"/>
          </w:tcPr>
          <w:p w14:paraId="5FF5BF02">
            <w:pPr>
              <w:spacing w:line="360" w:lineRule="auto"/>
              <w:jc w:val="center"/>
              <w:rPr>
                <w:rFonts w:ascii="宋体" w:hAnsi="宋体"/>
                <w:b/>
                <w:color w:val="auto"/>
                <w:szCs w:val="21"/>
                <w:highlight w:val="none"/>
              </w:rPr>
            </w:pPr>
            <w:r>
              <w:rPr>
                <w:rFonts w:hint="eastAsia" w:ascii="宋体" w:hAnsi="宋体"/>
                <w:b/>
                <w:color w:val="auto"/>
                <w:szCs w:val="21"/>
                <w:highlight w:val="none"/>
              </w:rPr>
              <w:t>1</w:t>
            </w:r>
          </w:p>
        </w:tc>
        <w:tc>
          <w:tcPr>
            <w:tcW w:w="5447" w:type="dxa"/>
            <w:vAlign w:val="center"/>
          </w:tcPr>
          <w:p w14:paraId="51E79017">
            <w:pPr>
              <w:spacing w:line="360" w:lineRule="auto"/>
              <w:rPr>
                <w:rFonts w:ascii="宋体" w:hAnsi="宋体"/>
                <w:iCs/>
                <w:color w:val="auto"/>
                <w:szCs w:val="21"/>
                <w:highlight w:val="none"/>
              </w:rPr>
            </w:pPr>
            <w:r>
              <w:rPr>
                <w:rFonts w:hint="eastAsia" w:ascii="宋体" w:hAnsi="宋体"/>
                <w:iCs/>
                <w:color w:val="auto"/>
                <w:szCs w:val="21"/>
                <w:highlight w:val="none"/>
              </w:rPr>
              <w:t>采购需求中必须满足的实质性要求（即加斜体下划线内容，每条详细列出）</w:t>
            </w:r>
          </w:p>
        </w:tc>
        <w:tc>
          <w:tcPr>
            <w:tcW w:w="1680" w:type="dxa"/>
            <w:vAlign w:val="center"/>
          </w:tcPr>
          <w:p w14:paraId="3596A446">
            <w:pPr>
              <w:spacing w:line="360" w:lineRule="auto"/>
              <w:rPr>
                <w:rFonts w:ascii="宋体" w:hAnsi="宋体"/>
                <w:b/>
                <w:color w:val="auto"/>
                <w:szCs w:val="21"/>
                <w:highlight w:val="none"/>
              </w:rPr>
            </w:pPr>
          </w:p>
        </w:tc>
        <w:tc>
          <w:tcPr>
            <w:tcW w:w="1308" w:type="dxa"/>
            <w:vAlign w:val="center"/>
          </w:tcPr>
          <w:p w14:paraId="6FAEE0A5">
            <w:pPr>
              <w:spacing w:line="360" w:lineRule="auto"/>
              <w:rPr>
                <w:rFonts w:ascii="宋体" w:hAnsi="宋体"/>
                <w:b/>
                <w:color w:val="auto"/>
                <w:szCs w:val="21"/>
                <w:highlight w:val="none"/>
              </w:rPr>
            </w:pPr>
          </w:p>
        </w:tc>
      </w:tr>
      <w:tr w14:paraId="0A757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646" w:type="dxa"/>
            <w:vAlign w:val="center"/>
          </w:tcPr>
          <w:p w14:paraId="48773E02">
            <w:pPr>
              <w:spacing w:line="360" w:lineRule="auto"/>
              <w:jc w:val="center"/>
              <w:rPr>
                <w:rFonts w:ascii="宋体" w:hAnsi="宋体"/>
                <w:color w:val="auto"/>
                <w:szCs w:val="21"/>
                <w:highlight w:val="none"/>
              </w:rPr>
            </w:pPr>
            <w:r>
              <w:rPr>
                <w:rFonts w:hint="eastAsia" w:ascii="宋体" w:hAnsi="宋体"/>
                <w:color w:val="auto"/>
                <w:szCs w:val="21"/>
                <w:highlight w:val="none"/>
              </w:rPr>
              <w:t>2</w:t>
            </w:r>
          </w:p>
        </w:tc>
        <w:tc>
          <w:tcPr>
            <w:tcW w:w="5447" w:type="dxa"/>
            <w:vAlign w:val="center"/>
          </w:tcPr>
          <w:p w14:paraId="02D70354">
            <w:pPr>
              <w:spacing w:line="360" w:lineRule="auto"/>
              <w:rPr>
                <w:rFonts w:ascii="宋体" w:hAnsi="宋体"/>
                <w:iCs/>
                <w:color w:val="auto"/>
                <w:szCs w:val="21"/>
                <w:highlight w:val="none"/>
              </w:rPr>
            </w:pPr>
          </w:p>
        </w:tc>
        <w:tc>
          <w:tcPr>
            <w:tcW w:w="1680" w:type="dxa"/>
            <w:vAlign w:val="center"/>
          </w:tcPr>
          <w:p w14:paraId="28E88590">
            <w:pPr>
              <w:spacing w:line="360" w:lineRule="auto"/>
              <w:rPr>
                <w:rFonts w:ascii="宋体" w:hAnsi="宋体"/>
                <w:color w:val="auto"/>
                <w:szCs w:val="21"/>
                <w:highlight w:val="none"/>
              </w:rPr>
            </w:pPr>
          </w:p>
        </w:tc>
        <w:tc>
          <w:tcPr>
            <w:tcW w:w="1308" w:type="dxa"/>
            <w:vAlign w:val="center"/>
          </w:tcPr>
          <w:p w14:paraId="19CC3386">
            <w:pPr>
              <w:spacing w:line="360" w:lineRule="auto"/>
              <w:rPr>
                <w:rFonts w:ascii="宋体" w:hAnsi="宋体"/>
                <w:color w:val="auto"/>
                <w:szCs w:val="21"/>
                <w:highlight w:val="none"/>
              </w:rPr>
            </w:pPr>
          </w:p>
        </w:tc>
      </w:tr>
      <w:tr w14:paraId="0447D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646" w:type="dxa"/>
            <w:vAlign w:val="center"/>
          </w:tcPr>
          <w:p w14:paraId="10665929">
            <w:pPr>
              <w:spacing w:line="360" w:lineRule="auto"/>
              <w:jc w:val="center"/>
              <w:rPr>
                <w:rFonts w:ascii="宋体" w:hAnsi="宋体"/>
                <w:color w:val="auto"/>
                <w:szCs w:val="21"/>
                <w:highlight w:val="none"/>
              </w:rPr>
            </w:pPr>
            <w:r>
              <w:rPr>
                <w:rFonts w:hint="eastAsia" w:ascii="宋体" w:hAnsi="宋体"/>
                <w:color w:val="auto"/>
                <w:szCs w:val="21"/>
                <w:highlight w:val="none"/>
              </w:rPr>
              <w:t>3</w:t>
            </w:r>
          </w:p>
        </w:tc>
        <w:tc>
          <w:tcPr>
            <w:tcW w:w="5447" w:type="dxa"/>
            <w:vAlign w:val="center"/>
          </w:tcPr>
          <w:p w14:paraId="6FF47591">
            <w:pPr>
              <w:spacing w:line="360" w:lineRule="auto"/>
              <w:rPr>
                <w:rFonts w:ascii="宋体" w:hAnsi="宋体"/>
                <w:iCs/>
                <w:color w:val="auto"/>
                <w:szCs w:val="21"/>
                <w:highlight w:val="none"/>
              </w:rPr>
            </w:pPr>
          </w:p>
        </w:tc>
        <w:tc>
          <w:tcPr>
            <w:tcW w:w="1680" w:type="dxa"/>
            <w:vAlign w:val="center"/>
          </w:tcPr>
          <w:p w14:paraId="4200D013">
            <w:pPr>
              <w:spacing w:line="360" w:lineRule="auto"/>
              <w:rPr>
                <w:rFonts w:ascii="宋体" w:hAnsi="宋体"/>
                <w:color w:val="auto"/>
                <w:szCs w:val="21"/>
                <w:highlight w:val="none"/>
              </w:rPr>
            </w:pPr>
          </w:p>
        </w:tc>
        <w:tc>
          <w:tcPr>
            <w:tcW w:w="1308" w:type="dxa"/>
            <w:vAlign w:val="center"/>
          </w:tcPr>
          <w:p w14:paraId="7ED5BA13">
            <w:pPr>
              <w:spacing w:line="360" w:lineRule="auto"/>
              <w:rPr>
                <w:rFonts w:ascii="宋体" w:hAnsi="宋体"/>
                <w:color w:val="auto"/>
                <w:szCs w:val="21"/>
                <w:highlight w:val="none"/>
              </w:rPr>
            </w:pPr>
          </w:p>
        </w:tc>
      </w:tr>
      <w:tr w14:paraId="5F7D08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646" w:type="dxa"/>
            <w:vAlign w:val="center"/>
          </w:tcPr>
          <w:p w14:paraId="3944FDE3">
            <w:pPr>
              <w:spacing w:line="360" w:lineRule="auto"/>
              <w:jc w:val="center"/>
              <w:rPr>
                <w:rFonts w:ascii="宋体" w:hAnsi="宋体"/>
                <w:color w:val="auto"/>
                <w:szCs w:val="21"/>
                <w:highlight w:val="none"/>
              </w:rPr>
            </w:pPr>
            <w:r>
              <w:rPr>
                <w:rFonts w:hint="eastAsia" w:ascii="宋体" w:hAnsi="宋体"/>
                <w:color w:val="auto"/>
                <w:szCs w:val="21"/>
                <w:highlight w:val="none"/>
              </w:rPr>
              <w:t>4</w:t>
            </w:r>
          </w:p>
        </w:tc>
        <w:tc>
          <w:tcPr>
            <w:tcW w:w="5447" w:type="dxa"/>
            <w:vAlign w:val="center"/>
          </w:tcPr>
          <w:p w14:paraId="27E4285F">
            <w:pPr>
              <w:spacing w:line="360" w:lineRule="auto"/>
              <w:rPr>
                <w:rFonts w:ascii="宋体" w:hAnsi="宋体"/>
                <w:iCs/>
                <w:color w:val="auto"/>
                <w:szCs w:val="21"/>
                <w:highlight w:val="none"/>
              </w:rPr>
            </w:pPr>
          </w:p>
        </w:tc>
        <w:tc>
          <w:tcPr>
            <w:tcW w:w="1680" w:type="dxa"/>
            <w:vAlign w:val="center"/>
          </w:tcPr>
          <w:p w14:paraId="188B484F">
            <w:pPr>
              <w:spacing w:line="360" w:lineRule="auto"/>
              <w:rPr>
                <w:rFonts w:ascii="宋体" w:hAnsi="宋体"/>
                <w:color w:val="auto"/>
                <w:szCs w:val="21"/>
                <w:highlight w:val="none"/>
              </w:rPr>
            </w:pPr>
          </w:p>
        </w:tc>
        <w:tc>
          <w:tcPr>
            <w:tcW w:w="1308" w:type="dxa"/>
            <w:vAlign w:val="center"/>
          </w:tcPr>
          <w:p w14:paraId="43AC2A66">
            <w:pPr>
              <w:spacing w:line="360" w:lineRule="auto"/>
              <w:rPr>
                <w:rFonts w:ascii="宋体" w:hAnsi="宋体"/>
                <w:color w:val="auto"/>
                <w:szCs w:val="21"/>
                <w:highlight w:val="none"/>
              </w:rPr>
            </w:pPr>
          </w:p>
        </w:tc>
      </w:tr>
      <w:tr w14:paraId="7136D3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646" w:type="dxa"/>
            <w:vAlign w:val="center"/>
          </w:tcPr>
          <w:p w14:paraId="78BAB693">
            <w:pPr>
              <w:spacing w:line="360" w:lineRule="auto"/>
              <w:jc w:val="center"/>
              <w:rPr>
                <w:rFonts w:ascii="宋体" w:hAnsi="宋体"/>
                <w:color w:val="auto"/>
                <w:szCs w:val="21"/>
                <w:highlight w:val="none"/>
              </w:rPr>
            </w:pPr>
            <w:r>
              <w:rPr>
                <w:rFonts w:hint="eastAsia" w:ascii="宋体" w:hAnsi="宋体"/>
                <w:color w:val="auto"/>
                <w:szCs w:val="21"/>
                <w:highlight w:val="none"/>
              </w:rPr>
              <w:t>5</w:t>
            </w:r>
          </w:p>
        </w:tc>
        <w:tc>
          <w:tcPr>
            <w:tcW w:w="5447" w:type="dxa"/>
            <w:vAlign w:val="center"/>
          </w:tcPr>
          <w:p w14:paraId="6F437D96">
            <w:pPr>
              <w:snapToGrid w:val="0"/>
              <w:spacing w:line="360" w:lineRule="auto"/>
              <w:rPr>
                <w:rFonts w:ascii="宋体" w:hAnsi="宋体"/>
                <w:iCs/>
                <w:color w:val="auto"/>
                <w:szCs w:val="21"/>
                <w:highlight w:val="none"/>
              </w:rPr>
            </w:pPr>
            <w:r>
              <w:rPr>
                <w:rFonts w:ascii="宋体" w:hAnsi="宋体"/>
                <w:iCs/>
                <w:color w:val="auto"/>
                <w:szCs w:val="21"/>
                <w:highlight w:val="none"/>
              </w:rPr>
              <w:t>……</w:t>
            </w:r>
          </w:p>
        </w:tc>
        <w:tc>
          <w:tcPr>
            <w:tcW w:w="1680" w:type="dxa"/>
            <w:vAlign w:val="center"/>
          </w:tcPr>
          <w:p w14:paraId="3521F019">
            <w:pPr>
              <w:spacing w:line="360" w:lineRule="auto"/>
              <w:rPr>
                <w:rFonts w:ascii="宋体" w:hAnsi="宋体"/>
                <w:color w:val="auto"/>
                <w:szCs w:val="21"/>
                <w:highlight w:val="none"/>
              </w:rPr>
            </w:pPr>
          </w:p>
        </w:tc>
        <w:tc>
          <w:tcPr>
            <w:tcW w:w="1308" w:type="dxa"/>
            <w:vAlign w:val="center"/>
          </w:tcPr>
          <w:p w14:paraId="217B12E7">
            <w:pPr>
              <w:spacing w:line="360" w:lineRule="auto"/>
              <w:rPr>
                <w:rFonts w:ascii="宋体" w:hAnsi="宋体"/>
                <w:color w:val="auto"/>
                <w:szCs w:val="21"/>
                <w:highlight w:val="none"/>
              </w:rPr>
            </w:pPr>
          </w:p>
        </w:tc>
      </w:tr>
    </w:tbl>
    <w:p w14:paraId="12030F05">
      <w:pPr>
        <w:adjustRightInd w:val="0"/>
        <w:spacing w:line="360" w:lineRule="auto"/>
        <w:contextualSpacing/>
        <w:jc w:val="center"/>
        <w:rPr>
          <w:rFonts w:ascii="宋体" w:hAnsi="宋体"/>
          <w:b/>
          <w:bCs/>
          <w:color w:val="auto"/>
          <w:sz w:val="32"/>
          <w:szCs w:val="32"/>
          <w:highlight w:val="none"/>
        </w:rPr>
      </w:pPr>
    </w:p>
    <w:p w14:paraId="5E21B9A9">
      <w:pPr>
        <w:adjustRightInd w:val="0"/>
        <w:spacing w:line="360" w:lineRule="auto"/>
        <w:contextualSpacing/>
        <w:jc w:val="center"/>
        <w:rPr>
          <w:rFonts w:ascii="宋体" w:hAnsi="宋体"/>
          <w:b/>
          <w:bCs/>
          <w:color w:val="auto"/>
          <w:sz w:val="32"/>
          <w:szCs w:val="32"/>
          <w:highlight w:val="none"/>
        </w:rPr>
      </w:pPr>
    </w:p>
    <w:p w14:paraId="768EEA44">
      <w:pPr>
        <w:adjustRightInd w:val="0"/>
        <w:spacing w:line="360" w:lineRule="auto"/>
        <w:contextualSpacing/>
        <w:jc w:val="center"/>
        <w:rPr>
          <w:rFonts w:ascii="宋体" w:hAnsi="宋体"/>
          <w:b/>
          <w:bCs/>
          <w:color w:val="auto"/>
          <w:sz w:val="32"/>
          <w:szCs w:val="32"/>
          <w:highlight w:val="none"/>
        </w:rPr>
      </w:pPr>
    </w:p>
    <w:p w14:paraId="575CACD2">
      <w:pPr>
        <w:adjustRightInd w:val="0"/>
        <w:spacing w:line="360" w:lineRule="auto"/>
        <w:contextualSpacing/>
        <w:jc w:val="center"/>
        <w:rPr>
          <w:rFonts w:ascii="宋体" w:hAnsi="宋体"/>
          <w:b/>
          <w:bCs/>
          <w:color w:val="auto"/>
          <w:sz w:val="32"/>
          <w:szCs w:val="32"/>
          <w:highlight w:val="none"/>
        </w:rPr>
      </w:pPr>
    </w:p>
    <w:p w14:paraId="5E01FA84">
      <w:pPr>
        <w:adjustRightInd w:val="0"/>
        <w:spacing w:line="360" w:lineRule="auto"/>
        <w:contextualSpacing/>
        <w:jc w:val="center"/>
        <w:rPr>
          <w:rFonts w:ascii="宋体" w:hAnsi="宋体"/>
          <w:b/>
          <w:bCs/>
          <w:color w:val="auto"/>
          <w:sz w:val="32"/>
          <w:szCs w:val="32"/>
          <w:highlight w:val="none"/>
        </w:rPr>
      </w:pPr>
    </w:p>
    <w:p w14:paraId="16FE8F8D">
      <w:pPr>
        <w:adjustRightInd w:val="0"/>
        <w:spacing w:line="360" w:lineRule="auto"/>
        <w:contextualSpacing/>
        <w:jc w:val="center"/>
        <w:rPr>
          <w:rFonts w:ascii="宋体" w:hAnsi="宋体"/>
          <w:b/>
          <w:bCs/>
          <w:color w:val="auto"/>
          <w:sz w:val="32"/>
          <w:szCs w:val="32"/>
          <w:highlight w:val="none"/>
        </w:rPr>
      </w:pPr>
    </w:p>
    <w:p w14:paraId="5B7E8C17">
      <w:pPr>
        <w:adjustRightInd w:val="0"/>
        <w:spacing w:line="360" w:lineRule="auto"/>
        <w:contextualSpacing/>
        <w:jc w:val="center"/>
        <w:rPr>
          <w:rFonts w:ascii="宋体" w:hAnsi="宋体"/>
          <w:b/>
          <w:bCs/>
          <w:color w:val="auto"/>
          <w:sz w:val="32"/>
          <w:szCs w:val="32"/>
          <w:highlight w:val="none"/>
        </w:rPr>
      </w:pPr>
    </w:p>
    <w:p w14:paraId="6F1744C6">
      <w:pPr>
        <w:adjustRightInd w:val="0"/>
        <w:spacing w:line="360" w:lineRule="auto"/>
        <w:contextualSpacing/>
        <w:jc w:val="center"/>
        <w:rPr>
          <w:rFonts w:ascii="宋体" w:hAnsi="宋体"/>
          <w:b/>
          <w:bCs/>
          <w:color w:val="auto"/>
          <w:sz w:val="32"/>
          <w:szCs w:val="32"/>
          <w:highlight w:val="none"/>
        </w:rPr>
      </w:pPr>
    </w:p>
    <w:p w14:paraId="5DE32DAC">
      <w:pPr>
        <w:adjustRightInd w:val="0"/>
        <w:spacing w:line="360" w:lineRule="auto"/>
        <w:contextualSpacing/>
        <w:jc w:val="center"/>
        <w:rPr>
          <w:rFonts w:ascii="宋体" w:hAnsi="宋体"/>
          <w:b/>
          <w:bCs/>
          <w:color w:val="auto"/>
          <w:sz w:val="32"/>
          <w:szCs w:val="32"/>
          <w:highlight w:val="none"/>
        </w:rPr>
      </w:pPr>
    </w:p>
    <w:p w14:paraId="6BDD4430">
      <w:pPr>
        <w:adjustRightInd w:val="0"/>
        <w:spacing w:line="360" w:lineRule="auto"/>
        <w:contextualSpacing/>
        <w:jc w:val="center"/>
        <w:rPr>
          <w:rFonts w:ascii="宋体" w:hAnsi="宋体"/>
          <w:b/>
          <w:bCs/>
          <w:color w:val="auto"/>
          <w:sz w:val="32"/>
          <w:szCs w:val="32"/>
          <w:highlight w:val="none"/>
        </w:rPr>
      </w:pPr>
    </w:p>
    <w:p w14:paraId="598E8F37">
      <w:pPr>
        <w:adjustRightInd w:val="0"/>
        <w:spacing w:line="360" w:lineRule="auto"/>
        <w:contextualSpacing/>
        <w:jc w:val="center"/>
        <w:rPr>
          <w:rFonts w:ascii="宋体" w:hAnsi="宋体"/>
          <w:b/>
          <w:bCs/>
          <w:color w:val="auto"/>
          <w:sz w:val="32"/>
          <w:szCs w:val="32"/>
          <w:highlight w:val="none"/>
        </w:rPr>
      </w:pPr>
    </w:p>
    <w:p w14:paraId="63C65877">
      <w:pPr>
        <w:adjustRightInd w:val="0"/>
        <w:spacing w:line="360" w:lineRule="auto"/>
        <w:contextualSpacing/>
        <w:rPr>
          <w:rFonts w:ascii="宋体" w:hAnsi="宋体"/>
          <w:b/>
          <w:bCs/>
          <w:color w:val="auto"/>
          <w:sz w:val="32"/>
          <w:szCs w:val="32"/>
          <w:highlight w:val="none"/>
        </w:rPr>
      </w:pPr>
    </w:p>
    <w:p w14:paraId="143AC741">
      <w:pPr>
        <w:pStyle w:val="3"/>
        <w:spacing w:line="360" w:lineRule="auto"/>
        <w:rPr>
          <w:rFonts w:ascii="宋体" w:hAnsi="宋体" w:eastAsia="宋体"/>
          <w:color w:val="auto"/>
          <w:sz w:val="32"/>
          <w:highlight w:val="none"/>
        </w:rPr>
      </w:pPr>
      <w:r>
        <w:rPr>
          <w:rFonts w:hint="eastAsia" w:ascii="宋体" w:hAnsi="宋体" w:eastAsia="宋体"/>
          <w:color w:val="auto"/>
          <w:sz w:val="32"/>
          <w:highlight w:val="none"/>
        </w:rPr>
        <w:t>三、非实质性响应对照表</w:t>
      </w:r>
    </w:p>
    <w:p w14:paraId="3E8877BC">
      <w:pPr>
        <w:spacing w:line="360" w:lineRule="auto"/>
        <w:rPr>
          <w:rFonts w:ascii="宋体" w:hAnsi="宋体"/>
          <w:b/>
          <w:color w:val="auto"/>
          <w:sz w:val="32"/>
          <w:szCs w:val="32"/>
          <w:highlight w:val="none"/>
        </w:rPr>
      </w:pPr>
    </w:p>
    <w:tbl>
      <w:tblPr>
        <w:tblStyle w:val="21"/>
        <w:tblW w:w="908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5447"/>
        <w:gridCol w:w="1680"/>
        <w:gridCol w:w="1308"/>
      </w:tblGrid>
      <w:tr w14:paraId="72772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DC6475E">
            <w:pPr>
              <w:snapToGrid w:val="0"/>
              <w:spacing w:line="360" w:lineRule="auto"/>
              <w:jc w:val="center"/>
              <w:rPr>
                <w:rFonts w:ascii="宋体" w:hAnsi="宋体"/>
                <w:b/>
                <w:color w:val="auto"/>
                <w:szCs w:val="21"/>
                <w:highlight w:val="none"/>
              </w:rPr>
            </w:pPr>
            <w:r>
              <w:rPr>
                <w:rFonts w:hint="eastAsia" w:ascii="宋体" w:hAnsi="宋体" w:cs="宋体"/>
                <w:b/>
                <w:color w:val="auto"/>
                <w:szCs w:val="21"/>
                <w:highlight w:val="none"/>
              </w:rPr>
              <w:t>序号</w:t>
            </w:r>
          </w:p>
        </w:tc>
        <w:tc>
          <w:tcPr>
            <w:tcW w:w="5447" w:type="dxa"/>
            <w:vAlign w:val="center"/>
          </w:tcPr>
          <w:p w14:paraId="7ECE4DC4">
            <w:pPr>
              <w:snapToGrid w:val="0"/>
              <w:spacing w:line="360" w:lineRule="auto"/>
              <w:jc w:val="center"/>
              <w:rPr>
                <w:rFonts w:ascii="宋体" w:hAnsi="宋体"/>
                <w:b/>
                <w:color w:val="auto"/>
                <w:szCs w:val="21"/>
                <w:highlight w:val="none"/>
              </w:rPr>
            </w:pPr>
            <w:r>
              <w:rPr>
                <w:rFonts w:hint="eastAsia" w:ascii="宋体" w:hAnsi="宋体" w:cs="宋体"/>
                <w:b/>
                <w:color w:val="auto"/>
                <w:szCs w:val="21"/>
                <w:highlight w:val="none"/>
              </w:rPr>
              <w:t>非实质性响应内容</w:t>
            </w:r>
          </w:p>
        </w:tc>
        <w:tc>
          <w:tcPr>
            <w:tcW w:w="1680" w:type="dxa"/>
            <w:vAlign w:val="center"/>
          </w:tcPr>
          <w:p w14:paraId="5C1B4994">
            <w:pPr>
              <w:snapToGrid w:val="0"/>
              <w:spacing w:line="360" w:lineRule="auto"/>
              <w:jc w:val="center"/>
              <w:rPr>
                <w:rFonts w:ascii="宋体" w:hAnsi="宋体" w:cs="宋体"/>
                <w:b/>
                <w:color w:val="auto"/>
                <w:szCs w:val="21"/>
                <w:highlight w:val="none"/>
              </w:rPr>
            </w:pPr>
            <w:r>
              <w:rPr>
                <w:rFonts w:hint="eastAsia" w:ascii="宋体" w:hAnsi="宋体" w:cs="宋体"/>
                <w:b/>
                <w:color w:val="auto"/>
                <w:szCs w:val="21"/>
                <w:highlight w:val="none"/>
              </w:rPr>
              <w:t>是否响应</w:t>
            </w:r>
          </w:p>
          <w:p w14:paraId="37948294">
            <w:pPr>
              <w:snapToGrid w:val="0"/>
              <w:spacing w:line="360" w:lineRule="auto"/>
              <w:jc w:val="center"/>
              <w:rPr>
                <w:rFonts w:ascii="宋体" w:hAnsi="宋体"/>
                <w:b/>
                <w:color w:val="auto"/>
                <w:szCs w:val="21"/>
                <w:highlight w:val="none"/>
              </w:rPr>
            </w:pPr>
            <w:r>
              <w:rPr>
                <w:rFonts w:hint="eastAsia" w:ascii="宋体" w:hAnsi="宋体" w:cs="宋体"/>
                <w:b/>
                <w:color w:val="auto"/>
                <w:szCs w:val="21"/>
                <w:highlight w:val="none"/>
              </w:rPr>
              <w:t>（填是或者否）</w:t>
            </w:r>
          </w:p>
        </w:tc>
        <w:tc>
          <w:tcPr>
            <w:tcW w:w="1308" w:type="dxa"/>
            <w:vAlign w:val="center"/>
          </w:tcPr>
          <w:p w14:paraId="190EADD2">
            <w:pPr>
              <w:snapToGrid w:val="0"/>
              <w:spacing w:line="360" w:lineRule="auto"/>
              <w:jc w:val="center"/>
              <w:rPr>
                <w:rFonts w:ascii="宋体" w:hAnsi="宋体" w:cs="宋体"/>
                <w:b/>
                <w:color w:val="auto"/>
                <w:szCs w:val="21"/>
                <w:highlight w:val="none"/>
              </w:rPr>
            </w:pPr>
            <w:r>
              <w:rPr>
                <w:rFonts w:hint="eastAsia" w:ascii="宋体" w:hAnsi="宋体" w:cs="宋体"/>
                <w:b/>
                <w:color w:val="auto"/>
                <w:szCs w:val="21"/>
                <w:highlight w:val="none"/>
              </w:rPr>
              <w:t>响应情况</w:t>
            </w:r>
          </w:p>
        </w:tc>
      </w:tr>
      <w:tr w14:paraId="75A44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646" w:type="dxa"/>
            <w:vAlign w:val="center"/>
          </w:tcPr>
          <w:p w14:paraId="57AFDA3B">
            <w:pPr>
              <w:spacing w:line="360" w:lineRule="auto"/>
              <w:jc w:val="center"/>
              <w:rPr>
                <w:rFonts w:ascii="宋体" w:hAnsi="宋体"/>
                <w:b/>
                <w:color w:val="auto"/>
                <w:szCs w:val="21"/>
                <w:highlight w:val="none"/>
              </w:rPr>
            </w:pPr>
            <w:r>
              <w:rPr>
                <w:rFonts w:hint="eastAsia" w:ascii="宋体" w:hAnsi="宋体"/>
                <w:bCs/>
                <w:color w:val="auto"/>
                <w:szCs w:val="21"/>
                <w:highlight w:val="none"/>
              </w:rPr>
              <w:t>1</w:t>
            </w:r>
          </w:p>
        </w:tc>
        <w:tc>
          <w:tcPr>
            <w:tcW w:w="5447" w:type="dxa"/>
            <w:vAlign w:val="center"/>
          </w:tcPr>
          <w:p w14:paraId="0C34EC56">
            <w:pPr>
              <w:spacing w:line="360" w:lineRule="auto"/>
              <w:rPr>
                <w:rFonts w:ascii="宋体" w:hAnsi="宋体"/>
                <w:iCs/>
                <w:color w:val="auto"/>
                <w:szCs w:val="21"/>
                <w:highlight w:val="none"/>
              </w:rPr>
            </w:pPr>
            <w:r>
              <w:rPr>
                <w:rFonts w:hint="eastAsia" w:ascii="宋体" w:hAnsi="宋体"/>
                <w:color w:val="auto"/>
                <w:szCs w:val="21"/>
                <w:highlight w:val="none"/>
              </w:rPr>
              <w:t>《企业声明函》</w:t>
            </w:r>
          </w:p>
        </w:tc>
        <w:tc>
          <w:tcPr>
            <w:tcW w:w="1680" w:type="dxa"/>
            <w:vAlign w:val="center"/>
          </w:tcPr>
          <w:p w14:paraId="0984967E">
            <w:pPr>
              <w:spacing w:line="360" w:lineRule="auto"/>
              <w:rPr>
                <w:rFonts w:ascii="宋体" w:hAnsi="宋体"/>
                <w:b/>
                <w:color w:val="auto"/>
                <w:szCs w:val="21"/>
                <w:highlight w:val="none"/>
              </w:rPr>
            </w:pPr>
          </w:p>
        </w:tc>
        <w:tc>
          <w:tcPr>
            <w:tcW w:w="1308" w:type="dxa"/>
            <w:vAlign w:val="center"/>
          </w:tcPr>
          <w:p w14:paraId="5B778546">
            <w:pPr>
              <w:spacing w:line="360" w:lineRule="auto"/>
              <w:rPr>
                <w:rFonts w:ascii="宋体" w:hAnsi="宋体"/>
                <w:b/>
                <w:color w:val="auto"/>
                <w:szCs w:val="21"/>
                <w:highlight w:val="none"/>
              </w:rPr>
            </w:pPr>
          </w:p>
        </w:tc>
      </w:tr>
      <w:tr w14:paraId="418F9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646" w:type="dxa"/>
            <w:vAlign w:val="center"/>
          </w:tcPr>
          <w:p w14:paraId="6F7CB525">
            <w:pPr>
              <w:spacing w:line="360" w:lineRule="auto"/>
              <w:jc w:val="center"/>
              <w:rPr>
                <w:rFonts w:ascii="宋体" w:hAnsi="宋体"/>
                <w:color w:val="auto"/>
                <w:szCs w:val="21"/>
                <w:highlight w:val="none"/>
              </w:rPr>
            </w:pPr>
            <w:r>
              <w:rPr>
                <w:rFonts w:hint="eastAsia" w:ascii="宋体" w:hAnsi="宋体"/>
                <w:color w:val="auto"/>
                <w:szCs w:val="21"/>
                <w:highlight w:val="none"/>
              </w:rPr>
              <w:t>2</w:t>
            </w:r>
          </w:p>
        </w:tc>
        <w:tc>
          <w:tcPr>
            <w:tcW w:w="5447" w:type="dxa"/>
            <w:vAlign w:val="center"/>
          </w:tcPr>
          <w:p w14:paraId="73589BCC">
            <w:pPr>
              <w:spacing w:line="360" w:lineRule="auto"/>
              <w:rPr>
                <w:rFonts w:ascii="宋体" w:hAnsi="宋体"/>
                <w:iCs/>
                <w:color w:val="auto"/>
                <w:szCs w:val="21"/>
                <w:highlight w:val="none"/>
              </w:rPr>
            </w:pPr>
            <w:r>
              <w:rPr>
                <w:rFonts w:hint="eastAsia" w:ascii="宋体" w:hAnsi="宋体"/>
                <w:color w:val="auto"/>
                <w:szCs w:val="21"/>
                <w:highlight w:val="none"/>
              </w:rPr>
              <w:t>《残疾人福利性单位声明函》</w:t>
            </w:r>
          </w:p>
        </w:tc>
        <w:tc>
          <w:tcPr>
            <w:tcW w:w="1680" w:type="dxa"/>
            <w:vAlign w:val="center"/>
          </w:tcPr>
          <w:p w14:paraId="2EE8F053">
            <w:pPr>
              <w:spacing w:line="360" w:lineRule="auto"/>
              <w:rPr>
                <w:rFonts w:ascii="宋体" w:hAnsi="宋体"/>
                <w:color w:val="auto"/>
                <w:szCs w:val="21"/>
                <w:highlight w:val="none"/>
              </w:rPr>
            </w:pPr>
          </w:p>
        </w:tc>
        <w:tc>
          <w:tcPr>
            <w:tcW w:w="1308" w:type="dxa"/>
            <w:vAlign w:val="center"/>
          </w:tcPr>
          <w:p w14:paraId="67B7F854">
            <w:pPr>
              <w:spacing w:line="360" w:lineRule="auto"/>
              <w:rPr>
                <w:rFonts w:ascii="宋体" w:hAnsi="宋体"/>
                <w:color w:val="auto"/>
                <w:szCs w:val="21"/>
                <w:highlight w:val="none"/>
              </w:rPr>
            </w:pPr>
          </w:p>
        </w:tc>
      </w:tr>
      <w:tr w14:paraId="25F73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646" w:type="dxa"/>
            <w:vAlign w:val="center"/>
          </w:tcPr>
          <w:p w14:paraId="5D5638E4">
            <w:pPr>
              <w:spacing w:line="360" w:lineRule="auto"/>
              <w:jc w:val="center"/>
              <w:rPr>
                <w:rFonts w:ascii="宋体" w:hAnsi="宋体"/>
                <w:color w:val="auto"/>
                <w:szCs w:val="21"/>
                <w:highlight w:val="none"/>
              </w:rPr>
            </w:pPr>
            <w:r>
              <w:rPr>
                <w:rFonts w:hint="eastAsia" w:ascii="宋体" w:hAnsi="宋体"/>
                <w:color w:val="auto"/>
                <w:szCs w:val="21"/>
                <w:highlight w:val="none"/>
              </w:rPr>
              <w:t>3</w:t>
            </w:r>
          </w:p>
        </w:tc>
        <w:tc>
          <w:tcPr>
            <w:tcW w:w="5447" w:type="dxa"/>
            <w:vAlign w:val="center"/>
          </w:tcPr>
          <w:p w14:paraId="307A47EF">
            <w:pPr>
              <w:snapToGrid w:val="0"/>
              <w:spacing w:line="360" w:lineRule="auto"/>
              <w:rPr>
                <w:rFonts w:ascii="宋体" w:hAnsi="宋体"/>
                <w:iCs/>
                <w:color w:val="auto"/>
                <w:szCs w:val="21"/>
                <w:highlight w:val="none"/>
              </w:rPr>
            </w:pPr>
            <w:r>
              <w:rPr>
                <w:rFonts w:ascii="宋体" w:hAnsi="宋体"/>
                <w:iCs/>
                <w:color w:val="auto"/>
                <w:szCs w:val="21"/>
                <w:highlight w:val="none"/>
              </w:rPr>
              <w:t>……</w:t>
            </w:r>
          </w:p>
        </w:tc>
        <w:tc>
          <w:tcPr>
            <w:tcW w:w="1680" w:type="dxa"/>
            <w:vAlign w:val="center"/>
          </w:tcPr>
          <w:p w14:paraId="5D673793">
            <w:pPr>
              <w:spacing w:line="360" w:lineRule="auto"/>
              <w:rPr>
                <w:rFonts w:ascii="宋体" w:hAnsi="宋体"/>
                <w:color w:val="auto"/>
                <w:szCs w:val="21"/>
                <w:highlight w:val="none"/>
              </w:rPr>
            </w:pPr>
          </w:p>
        </w:tc>
        <w:tc>
          <w:tcPr>
            <w:tcW w:w="1308" w:type="dxa"/>
            <w:vAlign w:val="center"/>
          </w:tcPr>
          <w:p w14:paraId="6410C3B1">
            <w:pPr>
              <w:spacing w:line="360" w:lineRule="auto"/>
              <w:rPr>
                <w:rFonts w:ascii="宋体" w:hAnsi="宋体"/>
                <w:color w:val="auto"/>
                <w:szCs w:val="21"/>
                <w:highlight w:val="none"/>
              </w:rPr>
            </w:pPr>
          </w:p>
        </w:tc>
      </w:tr>
    </w:tbl>
    <w:p w14:paraId="71EE9B85">
      <w:pPr>
        <w:adjustRightInd w:val="0"/>
        <w:spacing w:line="360" w:lineRule="auto"/>
        <w:contextualSpacing/>
        <w:jc w:val="center"/>
        <w:rPr>
          <w:rFonts w:ascii="宋体" w:hAnsi="宋体"/>
          <w:b/>
          <w:bCs/>
          <w:color w:val="auto"/>
          <w:sz w:val="32"/>
          <w:szCs w:val="32"/>
          <w:highlight w:val="none"/>
        </w:rPr>
      </w:pPr>
    </w:p>
    <w:p w14:paraId="6E68B5E3">
      <w:pPr>
        <w:adjustRightInd w:val="0"/>
        <w:spacing w:line="360" w:lineRule="auto"/>
        <w:contextualSpacing/>
        <w:jc w:val="center"/>
        <w:rPr>
          <w:rFonts w:ascii="宋体" w:hAnsi="宋体"/>
          <w:b/>
          <w:bCs/>
          <w:color w:val="auto"/>
          <w:sz w:val="32"/>
          <w:szCs w:val="32"/>
          <w:highlight w:val="none"/>
        </w:rPr>
      </w:pPr>
    </w:p>
    <w:p w14:paraId="084A9118">
      <w:pPr>
        <w:spacing w:line="360" w:lineRule="auto"/>
        <w:rPr>
          <w:rFonts w:ascii="宋体" w:hAnsi="宋体"/>
          <w:color w:val="auto"/>
          <w:highlight w:val="none"/>
        </w:rPr>
      </w:pPr>
    </w:p>
    <w:p w14:paraId="14D7BDFC">
      <w:pPr>
        <w:widowControl/>
        <w:spacing w:line="360" w:lineRule="auto"/>
        <w:jc w:val="left"/>
        <w:rPr>
          <w:rFonts w:ascii="宋体" w:hAnsi="宋体" w:cs="Arial"/>
          <w:b/>
          <w:bCs/>
          <w:color w:val="auto"/>
          <w:highlight w:val="none"/>
        </w:rPr>
      </w:pPr>
    </w:p>
    <w:p w14:paraId="5BA4F82A">
      <w:pPr>
        <w:widowControl/>
        <w:spacing w:line="360" w:lineRule="auto"/>
        <w:jc w:val="left"/>
        <w:rPr>
          <w:rFonts w:ascii="宋体" w:hAnsi="宋体" w:cs="Arial"/>
          <w:b/>
          <w:bCs/>
          <w:color w:val="auto"/>
          <w:highlight w:val="none"/>
        </w:rPr>
      </w:pPr>
    </w:p>
    <w:p w14:paraId="51D80CE1">
      <w:pPr>
        <w:widowControl/>
        <w:spacing w:line="360" w:lineRule="auto"/>
        <w:jc w:val="left"/>
        <w:rPr>
          <w:rFonts w:ascii="宋体" w:hAnsi="宋体" w:cs="Arial"/>
          <w:b/>
          <w:bCs/>
          <w:color w:val="auto"/>
          <w:highlight w:val="none"/>
        </w:rPr>
      </w:pPr>
    </w:p>
    <w:p w14:paraId="4592F49C">
      <w:pPr>
        <w:widowControl/>
        <w:spacing w:line="360" w:lineRule="auto"/>
        <w:jc w:val="left"/>
        <w:rPr>
          <w:rFonts w:ascii="宋体" w:hAnsi="宋体" w:cs="Arial"/>
          <w:b/>
          <w:bCs/>
          <w:color w:val="auto"/>
          <w:highlight w:val="none"/>
        </w:rPr>
      </w:pPr>
    </w:p>
    <w:p w14:paraId="0DD7B465">
      <w:pPr>
        <w:widowControl/>
        <w:spacing w:line="360" w:lineRule="auto"/>
        <w:jc w:val="left"/>
        <w:rPr>
          <w:rFonts w:ascii="宋体" w:hAnsi="宋体" w:cs="Arial"/>
          <w:b/>
          <w:bCs/>
          <w:color w:val="auto"/>
          <w:highlight w:val="none"/>
        </w:rPr>
      </w:pPr>
    </w:p>
    <w:p w14:paraId="4621032C">
      <w:pPr>
        <w:widowControl/>
        <w:spacing w:line="360" w:lineRule="auto"/>
        <w:jc w:val="left"/>
        <w:rPr>
          <w:rFonts w:ascii="宋体" w:hAnsi="宋体" w:cs="Arial"/>
          <w:b/>
          <w:bCs/>
          <w:color w:val="auto"/>
          <w:highlight w:val="none"/>
        </w:rPr>
      </w:pPr>
    </w:p>
    <w:p w14:paraId="00F619FA">
      <w:pPr>
        <w:widowControl/>
        <w:spacing w:line="360" w:lineRule="auto"/>
        <w:jc w:val="left"/>
        <w:rPr>
          <w:rFonts w:ascii="宋体" w:hAnsi="宋体" w:cs="Arial"/>
          <w:b/>
          <w:bCs/>
          <w:color w:val="auto"/>
          <w:highlight w:val="none"/>
        </w:rPr>
      </w:pPr>
    </w:p>
    <w:p w14:paraId="13D5DE48">
      <w:pPr>
        <w:widowControl/>
        <w:spacing w:line="360" w:lineRule="auto"/>
        <w:jc w:val="left"/>
        <w:rPr>
          <w:rFonts w:ascii="宋体" w:hAnsi="宋体" w:cs="Arial"/>
          <w:b/>
          <w:bCs/>
          <w:color w:val="auto"/>
          <w:highlight w:val="none"/>
        </w:rPr>
      </w:pPr>
    </w:p>
    <w:p w14:paraId="0C78DF6F">
      <w:pPr>
        <w:widowControl/>
        <w:spacing w:line="360" w:lineRule="auto"/>
        <w:jc w:val="left"/>
        <w:rPr>
          <w:rFonts w:ascii="宋体" w:hAnsi="宋体" w:cs="Arial"/>
          <w:b/>
          <w:bCs/>
          <w:color w:val="auto"/>
          <w:highlight w:val="none"/>
        </w:rPr>
      </w:pPr>
    </w:p>
    <w:p w14:paraId="59B575C4">
      <w:pPr>
        <w:widowControl/>
        <w:spacing w:line="360" w:lineRule="auto"/>
        <w:jc w:val="left"/>
        <w:rPr>
          <w:rFonts w:ascii="宋体" w:hAnsi="宋体" w:cs="Arial"/>
          <w:b/>
          <w:bCs/>
          <w:color w:val="auto"/>
          <w:highlight w:val="none"/>
        </w:rPr>
      </w:pPr>
    </w:p>
    <w:p w14:paraId="2E753BA7">
      <w:pPr>
        <w:widowControl/>
        <w:spacing w:line="360" w:lineRule="auto"/>
        <w:jc w:val="left"/>
        <w:rPr>
          <w:rFonts w:ascii="宋体" w:hAnsi="宋体" w:cs="Arial"/>
          <w:b/>
          <w:bCs/>
          <w:color w:val="auto"/>
          <w:highlight w:val="none"/>
        </w:rPr>
      </w:pPr>
    </w:p>
    <w:p w14:paraId="14820FA1">
      <w:pPr>
        <w:widowControl/>
        <w:spacing w:line="360" w:lineRule="auto"/>
        <w:jc w:val="left"/>
        <w:rPr>
          <w:rFonts w:ascii="宋体" w:hAnsi="宋体" w:cs="Arial"/>
          <w:b/>
          <w:bCs/>
          <w:color w:val="auto"/>
          <w:highlight w:val="none"/>
        </w:rPr>
      </w:pPr>
    </w:p>
    <w:p w14:paraId="353B96A1">
      <w:pPr>
        <w:widowControl/>
        <w:spacing w:line="360" w:lineRule="auto"/>
        <w:jc w:val="left"/>
        <w:rPr>
          <w:rFonts w:ascii="宋体" w:hAnsi="宋体" w:cs="Arial"/>
          <w:b/>
          <w:bCs/>
          <w:color w:val="auto"/>
          <w:highlight w:val="none"/>
        </w:rPr>
      </w:pPr>
    </w:p>
    <w:p w14:paraId="6390AC73">
      <w:pPr>
        <w:widowControl/>
        <w:spacing w:line="360" w:lineRule="auto"/>
        <w:jc w:val="left"/>
        <w:rPr>
          <w:rFonts w:ascii="宋体" w:hAnsi="宋体" w:cs="Arial"/>
          <w:b/>
          <w:bCs/>
          <w:color w:val="auto"/>
          <w:highlight w:val="none"/>
        </w:rPr>
      </w:pPr>
    </w:p>
    <w:p w14:paraId="116E56F8">
      <w:pPr>
        <w:widowControl/>
        <w:spacing w:line="360" w:lineRule="auto"/>
        <w:jc w:val="left"/>
        <w:rPr>
          <w:rFonts w:ascii="宋体" w:hAnsi="宋体" w:cs="Arial"/>
          <w:b/>
          <w:bCs/>
          <w:color w:val="auto"/>
          <w:highlight w:val="none"/>
        </w:rPr>
      </w:pPr>
    </w:p>
    <w:p w14:paraId="502632F8">
      <w:pPr>
        <w:widowControl/>
        <w:spacing w:line="360" w:lineRule="auto"/>
        <w:jc w:val="left"/>
        <w:rPr>
          <w:rFonts w:ascii="宋体" w:hAnsi="宋体" w:cs="Arial"/>
          <w:b/>
          <w:bCs/>
          <w:color w:val="auto"/>
          <w:highlight w:val="none"/>
        </w:rPr>
      </w:pPr>
    </w:p>
    <w:p w14:paraId="1440D1E9">
      <w:pPr>
        <w:spacing w:before="312" w:beforeLines="100" w:after="312" w:afterLines="100" w:line="360" w:lineRule="auto"/>
        <w:jc w:val="center"/>
        <w:rPr>
          <w:rFonts w:ascii="宋体" w:hAnsi="宋体"/>
          <w:b/>
          <w:bCs/>
          <w:color w:val="auto"/>
          <w:highlight w:val="none"/>
        </w:rPr>
      </w:pPr>
      <w:r>
        <w:rPr>
          <w:rFonts w:hint="eastAsia" w:ascii="宋体" w:hAnsi="宋体"/>
          <w:b/>
          <w:bCs/>
          <w:color w:val="auto"/>
          <w:highlight w:val="none"/>
        </w:rPr>
        <w:t>中小企业声明函（货物）</w:t>
      </w:r>
    </w:p>
    <w:p w14:paraId="355D42BB">
      <w:pPr>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本公司（联合体）郑重声明，根据《政府采购促进中小企业发展管理办法》（财库﹝2020﹞46 号）的规定，本公司（联合体）参加</w:t>
      </w:r>
      <w:r>
        <w:rPr>
          <w:rFonts w:hint="eastAsia" w:ascii="宋体" w:hAnsi="宋体" w:cs="宋体"/>
          <w:color w:val="auto"/>
          <w:szCs w:val="21"/>
          <w:highlight w:val="none"/>
          <w:u w:val="single"/>
        </w:rPr>
        <w:t>（单位名称）</w:t>
      </w:r>
      <w:r>
        <w:rPr>
          <w:rFonts w:hint="eastAsia" w:ascii="宋体" w:hAnsi="宋体" w:cs="宋体"/>
          <w:color w:val="auto"/>
          <w:szCs w:val="21"/>
          <w:highlight w:val="none"/>
        </w:rPr>
        <w:t>的</w:t>
      </w:r>
      <w:r>
        <w:rPr>
          <w:rFonts w:hint="eastAsia" w:ascii="宋体" w:hAnsi="宋体" w:cs="宋体"/>
          <w:color w:val="auto"/>
          <w:szCs w:val="21"/>
          <w:highlight w:val="none"/>
          <w:u w:val="single"/>
        </w:rPr>
        <w:t>（项目名称）</w:t>
      </w:r>
      <w:r>
        <w:rPr>
          <w:rFonts w:hint="eastAsia" w:ascii="宋体" w:hAnsi="宋体" w:cs="宋体"/>
          <w:color w:val="auto"/>
          <w:szCs w:val="21"/>
          <w:highlight w:val="none"/>
        </w:rPr>
        <w:t>采购活动，提供的货物全部由符合政策要求的中小企业制造。相关企业（含联合体中的中小企业、签订分包意向协议的中小企业）的具体情况如下：</w:t>
      </w:r>
    </w:p>
    <w:p w14:paraId="5D55674C">
      <w:pPr>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 xml:space="preserve">1. </w:t>
      </w:r>
      <w:r>
        <w:rPr>
          <w:rFonts w:hint="eastAsia" w:ascii="宋体" w:hAnsi="宋体" w:cs="宋体"/>
          <w:color w:val="auto"/>
          <w:szCs w:val="21"/>
          <w:highlight w:val="none"/>
          <w:u w:val="single"/>
        </w:rPr>
        <w:t xml:space="preserve">（标的名称） </w:t>
      </w:r>
      <w:r>
        <w:rPr>
          <w:rFonts w:hint="eastAsia" w:ascii="宋体" w:hAnsi="宋体" w:cs="宋体"/>
          <w:color w:val="auto"/>
          <w:szCs w:val="21"/>
          <w:highlight w:val="none"/>
        </w:rPr>
        <w:t>，属于</w:t>
      </w:r>
      <w:r>
        <w:rPr>
          <w:rFonts w:hint="eastAsia" w:ascii="宋体" w:hAnsi="宋体" w:cs="宋体"/>
          <w:color w:val="auto"/>
          <w:szCs w:val="21"/>
          <w:highlight w:val="none"/>
          <w:u w:val="single"/>
        </w:rPr>
        <w:t>（工业）行业（不得对行业类别修改）</w:t>
      </w:r>
      <w:r>
        <w:rPr>
          <w:rFonts w:hint="eastAsia" w:ascii="宋体" w:hAnsi="宋体" w:cs="宋体"/>
          <w:color w:val="auto"/>
          <w:szCs w:val="21"/>
          <w:highlight w:val="none"/>
        </w:rPr>
        <w:t>；制造商为</w:t>
      </w:r>
      <w:r>
        <w:rPr>
          <w:rFonts w:hint="eastAsia" w:ascii="宋体" w:hAnsi="宋体" w:cs="宋体"/>
          <w:color w:val="auto"/>
          <w:szCs w:val="21"/>
          <w:highlight w:val="none"/>
          <w:u w:val="single"/>
        </w:rPr>
        <w:t>（企业名称）</w:t>
      </w:r>
      <w:r>
        <w:rPr>
          <w:rFonts w:hint="eastAsia" w:ascii="宋体" w:hAnsi="宋体" w:cs="宋体"/>
          <w:color w:val="auto"/>
          <w:szCs w:val="21"/>
          <w:highlight w:val="none"/>
        </w:rPr>
        <w:t>，从业人员人，营业收入为万元，资产总额为万元</w:t>
      </w:r>
      <w:r>
        <w:rPr>
          <w:color w:val="auto"/>
          <w:highlight w:val="none"/>
        </w:rPr>
        <w:fldChar w:fldCharType="begin"/>
      </w:r>
      <w:r>
        <w:rPr>
          <w:color w:val="auto"/>
          <w:highlight w:val="none"/>
        </w:rPr>
        <w:instrText xml:space="preserve"> HYPERLINK \l "br1" </w:instrText>
      </w:r>
      <w:r>
        <w:rPr>
          <w:color w:val="auto"/>
          <w:highlight w:val="none"/>
        </w:rPr>
        <w:fldChar w:fldCharType="separate"/>
      </w:r>
      <w:r>
        <w:rPr>
          <w:rFonts w:hint="eastAsia" w:ascii="宋体" w:hAnsi="宋体" w:cs="宋体"/>
          <w:color w:val="auto"/>
          <w:spacing w:val="-1"/>
          <w:szCs w:val="21"/>
          <w:highlight w:val="none"/>
          <w:vertAlign w:val="superscript"/>
        </w:rPr>
        <w:t>1</w:t>
      </w:r>
      <w:r>
        <w:rPr>
          <w:rFonts w:hint="eastAsia" w:ascii="宋体" w:hAnsi="宋体" w:cs="宋体"/>
          <w:color w:val="auto"/>
          <w:spacing w:val="-1"/>
          <w:szCs w:val="21"/>
          <w:highlight w:val="none"/>
          <w:vertAlign w:val="superscript"/>
        </w:rPr>
        <w:fldChar w:fldCharType="end"/>
      </w:r>
      <w:r>
        <w:rPr>
          <w:rFonts w:hint="eastAsia" w:ascii="宋体" w:hAnsi="宋体" w:cs="宋体"/>
          <w:color w:val="auto"/>
          <w:szCs w:val="21"/>
          <w:highlight w:val="none"/>
        </w:rPr>
        <w:t>，属于</w:t>
      </w:r>
      <w:r>
        <w:rPr>
          <w:rFonts w:hint="eastAsia" w:ascii="宋体" w:hAnsi="宋体" w:cs="宋体"/>
          <w:color w:val="auto"/>
          <w:szCs w:val="21"/>
          <w:highlight w:val="none"/>
          <w:u w:val="single"/>
        </w:rPr>
        <w:t>（中型企业、小型企业、微型企业）；</w:t>
      </w:r>
    </w:p>
    <w:p w14:paraId="7131E064">
      <w:pPr>
        <w:spacing w:line="400" w:lineRule="exact"/>
        <w:ind w:firstLine="420" w:firstLineChars="200"/>
        <w:jc w:val="left"/>
        <w:rPr>
          <w:rFonts w:ascii="宋体" w:hAnsi="宋体" w:cs="宋体"/>
          <w:color w:val="auto"/>
          <w:szCs w:val="21"/>
          <w:highlight w:val="none"/>
          <w:u w:val="single"/>
        </w:rPr>
      </w:pPr>
      <w:r>
        <w:rPr>
          <w:rFonts w:hint="eastAsia" w:ascii="宋体" w:hAnsi="宋体" w:cs="宋体"/>
          <w:color w:val="auto"/>
          <w:szCs w:val="21"/>
          <w:highlight w:val="none"/>
        </w:rPr>
        <w:t xml:space="preserve">2. </w:t>
      </w:r>
      <w:r>
        <w:rPr>
          <w:rFonts w:hint="eastAsia" w:ascii="宋体" w:hAnsi="宋体" w:cs="宋体"/>
          <w:color w:val="auto"/>
          <w:szCs w:val="21"/>
          <w:highlight w:val="none"/>
          <w:u w:val="single"/>
        </w:rPr>
        <w:t xml:space="preserve">（标的名称） </w:t>
      </w:r>
      <w:r>
        <w:rPr>
          <w:rFonts w:hint="eastAsia" w:ascii="宋体" w:hAnsi="宋体" w:cs="宋体"/>
          <w:color w:val="auto"/>
          <w:szCs w:val="21"/>
          <w:highlight w:val="none"/>
        </w:rPr>
        <w:t>，属于</w:t>
      </w:r>
      <w:r>
        <w:rPr>
          <w:rFonts w:hint="eastAsia" w:ascii="宋体" w:hAnsi="宋体" w:cs="宋体"/>
          <w:color w:val="auto"/>
          <w:szCs w:val="21"/>
          <w:highlight w:val="none"/>
          <w:u w:val="single"/>
        </w:rPr>
        <w:t>（工业）行业（不得对行业类别修改）；</w:t>
      </w:r>
      <w:r>
        <w:rPr>
          <w:rFonts w:hint="eastAsia" w:ascii="宋体" w:hAnsi="宋体" w:cs="宋体"/>
          <w:color w:val="auto"/>
          <w:szCs w:val="21"/>
          <w:highlight w:val="none"/>
        </w:rPr>
        <w:t>制造商为</w:t>
      </w:r>
      <w:r>
        <w:rPr>
          <w:rFonts w:hint="eastAsia" w:ascii="宋体" w:hAnsi="宋体" w:cs="宋体"/>
          <w:color w:val="auto"/>
          <w:szCs w:val="21"/>
          <w:highlight w:val="none"/>
          <w:u w:val="single"/>
        </w:rPr>
        <w:t>（企业名称）</w:t>
      </w:r>
      <w:r>
        <w:rPr>
          <w:rFonts w:hint="eastAsia" w:ascii="宋体" w:hAnsi="宋体" w:cs="宋体"/>
          <w:color w:val="auto"/>
          <w:szCs w:val="21"/>
          <w:highlight w:val="none"/>
        </w:rPr>
        <w:t>，从业人员人，营业收入为万元，资产总额为万元，属于</w:t>
      </w:r>
      <w:r>
        <w:rPr>
          <w:rFonts w:hint="eastAsia" w:ascii="宋体" w:hAnsi="宋体" w:cs="宋体"/>
          <w:color w:val="auto"/>
          <w:szCs w:val="21"/>
          <w:highlight w:val="none"/>
          <w:u w:val="single"/>
        </w:rPr>
        <w:t>（中型企业、小型企业、微型企业）；</w:t>
      </w:r>
    </w:p>
    <w:p w14:paraId="16676EAE">
      <w:pPr>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w:t>
      </w:r>
    </w:p>
    <w:p w14:paraId="612DC304">
      <w:pPr>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以上企业，不属于大企业的分支机构，不存在控股股东为大企业的情形，也不存在与大企业的负责人为同一人的情形。</w:t>
      </w:r>
    </w:p>
    <w:p w14:paraId="0FB20C91">
      <w:pPr>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本企业对上述声明内容的真实性负责。如有虚假，将依法承担相应责任。</w:t>
      </w:r>
    </w:p>
    <w:p w14:paraId="3ECA9EB3">
      <w:pPr>
        <w:spacing w:line="400" w:lineRule="exact"/>
        <w:ind w:firstLine="420" w:firstLineChars="200"/>
        <w:jc w:val="left"/>
        <w:rPr>
          <w:rFonts w:ascii="宋体" w:hAnsi="宋体" w:cs="宋体"/>
          <w:color w:val="auto"/>
          <w:szCs w:val="21"/>
          <w:highlight w:val="none"/>
        </w:rPr>
      </w:pPr>
    </w:p>
    <w:p w14:paraId="385E4F0A">
      <w:pPr>
        <w:spacing w:line="400" w:lineRule="exact"/>
        <w:jc w:val="left"/>
        <w:rPr>
          <w:rFonts w:ascii="宋体" w:hAnsi="宋体" w:cs="宋体"/>
          <w:color w:val="auto"/>
          <w:szCs w:val="21"/>
          <w:highlight w:val="none"/>
        </w:rPr>
      </w:pPr>
      <w:r>
        <w:rPr>
          <w:rFonts w:hint="eastAsia" w:ascii="宋体" w:hAnsi="宋体" w:cs="宋体"/>
          <w:color w:val="auto"/>
          <w:szCs w:val="21"/>
          <w:highlight w:val="none"/>
        </w:rPr>
        <w:t>注： 1、从业人员（不仅指在职职工）、营业收入、资产总额填报上一年度数据，无上一年度数据的新成立企业可不填报。</w:t>
      </w:r>
    </w:p>
    <w:p w14:paraId="00C515CE">
      <w:pPr>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2、供应商如不提供此声明函，价格将不做相应扣除。</w:t>
      </w:r>
    </w:p>
    <w:p w14:paraId="4CA9ABBC">
      <w:pPr>
        <w:spacing w:line="400" w:lineRule="exact"/>
        <w:rPr>
          <w:rFonts w:ascii="宋体" w:hAnsi="宋体" w:cs="宋体"/>
          <w:color w:val="auto"/>
          <w:szCs w:val="21"/>
          <w:highlight w:val="none"/>
        </w:rPr>
      </w:pPr>
      <w:r>
        <w:rPr>
          <w:rFonts w:hint="eastAsia" w:ascii="宋体" w:hAnsi="宋体" w:cs="宋体"/>
          <w:color w:val="auto"/>
          <w:szCs w:val="21"/>
          <w:highlight w:val="none"/>
        </w:rPr>
        <w:t xml:space="preserve">    3、企业声明函请完整填写，中标后将公示。</w:t>
      </w:r>
    </w:p>
    <w:p w14:paraId="441C718C">
      <w:pPr>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4、投标人应当对其出具的《中小企业声明函》真实性负责，投标人出具的《中小企业声明函》内容不实的，属于提供虚假材料谋取中标。对相关制造商信息了解不充分，或者不能确定相关信息真实、准确的，不建议出具《中小企业声明函》。</w:t>
      </w:r>
    </w:p>
    <w:p w14:paraId="0EFB1C37">
      <w:pPr>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5、声明函应涵盖本项目(分包)所有货物，否则价格不作扣除。</w:t>
      </w:r>
    </w:p>
    <w:p w14:paraId="595F7114">
      <w:pPr>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6、中小企业不得属于大企业的分支机构，不得存在控股股东为大企业的情形，不得存在与大企业的负责人为同一人的情形。</w:t>
      </w:r>
    </w:p>
    <w:p w14:paraId="5AC993D8">
      <w:pPr>
        <w:spacing w:line="4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7、</w:t>
      </w:r>
      <w:r>
        <w:rPr>
          <w:rFonts w:hint="eastAsia" w:ascii="宋体" w:hAnsi="宋体" w:cs="宋体"/>
          <w:bCs/>
          <w:color w:val="auto"/>
          <w:szCs w:val="21"/>
          <w:highlight w:val="none"/>
          <w:shd w:val="clear" w:color="auto" w:fill="FFFFFF"/>
        </w:rPr>
        <w:t>《政府采购法》第七十七条第一款：提供虚假材料谋取中标、成交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 。</w:t>
      </w:r>
    </w:p>
    <w:p w14:paraId="21234326">
      <w:pPr>
        <w:spacing w:line="400" w:lineRule="exact"/>
        <w:ind w:firstLine="5250" w:firstLineChars="2500"/>
        <w:rPr>
          <w:rFonts w:ascii="宋体" w:hAnsi="宋体" w:cs="宋体"/>
          <w:color w:val="auto"/>
          <w:szCs w:val="21"/>
          <w:highlight w:val="none"/>
        </w:rPr>
      </w:pPr>
      <w:r>
        <w:rPr>
          <w:rFonts w:hint="eastAsia" w:ascii="宋体" w:hAnsi="宋体" w:cs="宋体"/>
          <w:color w:val="auto"/>
          <w:szCs w:val="21"/>
          <w:highlight w:val="none"/>
        </w:rPr>
        <w:t>企业名称（盖章）：</w:t>
      </w:r>
    </w:p>
    <w:p w14:paraId="0A69FA7C">
      <w:pPr>
        <w:spacing w:line="400" w:lineRule="exact"/>
        <w:jc w:val="center"/>
        <w:rPr>
          <w:rFonts w:ascii="宋体" w:hAnsi="宋体" w:cs="宋体"/>
          <w:color w:val="auto"/>
          <w:szCs w:val="21"/>
          <w:highlight w:val="none"/>
        </w:rPr>
      </w:pPr>
      <w:r>
        <w:rPr>
          <w:rFonts w:hint="eastAsia" w:ascii="宋体" w:hAnsi="宋体" w:cs="宋体"/>
          <w:color w:val="auto"/>
          <w:szCs w:val="21"/>
          <w:highlight w:val="none"/>
        </w:rPr>
        <w:t xml:space="preserve">                             日 期：</w:t>
      </w:r>
    </w:p>
    <w:p w14:paraId="6EC98EC2">
      <w:pPr>
        <w:spacing w:line="360" w:lineRule="auto"/>
        <w:rPr>
          <w:rStyle w:val="24"/>
          <w:rFonts w:ascii="宋体" w:hAnsi="宋体" w:cs="仿宋"/>
          <w:color w:val="auto"/>
          <w:szCs w:val="21"/>
          <w:highlight w:val="none"/>
        </w:rPr>
      </w:pPr>
    </w:p>
    <w:p w14:paraId="56EB4675">
      <w:pPr>
        <w:pStyle w:val="27"/>
        <w:rPr>
          <w:rStyle w:val="24"/>
          <w:rFonts w:hAnsi="宋体" w:cs="仿宋"/>
          <w:color w:val="auto"/>
          <w:szCs w:val="21"/>
          <w:highlight w:val="none"/>
        </w:rPr>
      </w:pPr>
    </w:p>
    <w:p w14:paraId="4E2B77DE">
      <w:pPr>
        <w:rPr>
          <w:rStyle w:val="24"/>
          <w:rFonts w:ascii="宋体" w:hAnsi="宋体" w:cs="仿宋"/>
          <w:color w:val="auto"/>
          <w:szCs w:val="21"/>
          <w:highlight w:val="none"/>
        </w:rPr>
      </w:pPr>
    </w:p>
    <w:p w14:paraId="742C9F1A">
      <w:pPr>
        <w:pStyle w:val="27"/>
        <w:rPr>
          <w:color w:val="auto"/>
          <w:highlight w:val="none"/>
        </w:rPr>
      </w:pPr>
    </w:p>
    <w:p w14:paraId="469CA0CE">
      <w:pPr>
        <w:spacing w:line="360" w:lineRule="auto"/>
        <w:jc w:val="center"/>
        <w:rPr>
          <w:rStyle w:val="24"/>
          <w:rFonts w:ascii="宋体" w:hAnsi="宋体" w:cs="仿宋"/>
          <w:color w:val="auto"/>
          <w:szCs w:val="21"/>
          <w:highlight w:val="none"/>
        </w:rPr>
      </w:pPr>
      <w:r>
        <w:rPr>
          <w:rStyle w:val="24"/>
          <w:rFonts w:hint="eastAsia" w:ascii="宋体" w:hAnsi="宋体" w:cs="仿宋"/>
          <w:color w:val="auto"/>
          <w:szCs w:val="21"/>
          <w:highlight w:val="none"/>
        </w:rPr>
        <w:t>中小微企业划型标准</w:t>
      </w:r>
    </w:p>
    <w:p w14:paraId="321836CD">
      <w:pPr>
        <w:pStyle w:val="19"/>
        <w:widowControl/>
        <w:spacing w:line="360" w:lineRule="auto"/>
        <w:ind w:firstLine="420"/>
        <w:rPr>
          <w:rFonts w:ascii="宋体" w:hAnsi="宋体"/>
          <w:color w:val="auto"/>
          <w:sz w:val="21"/>
          <w:szCs w:val="21"/>
          <w:highlight w:val="none"/>
        </w:rPr>
      </w:pPr>
      <w:r>
        <w:rPr>
          <w:rFonts w:hint="eastAsia" w:ascii="宋体" w:hAnsi="宋体" w:cs="仿宋"/>
          <w:color w:val="auto"/>
          <w:sz w:val="21"/>
          <w:szCs w:val="21"/>
          <w:highlight w:val="none"/>
        </w:rPr>
        <w:t>    </w:t>
      </w:r>
      <w:r>
        <w:rPr>
          <w:rStyle w:val="24"/>
          <w:rFonts w:hint="eastAsia" w:ascii="宋体" w:hAnsi="宋体" w:cs="仿宋"/>
          <w:color w:val="auto"/>
          <w:sz w:val="21"/>
          <w:szCs w:val="21"/>
          <w:highlight w:val="none"/>
        </w:rPr>
        <w:t>中小微企业划型标准如下：</w:t>
      </w:r>
    </w:p>
    <w:tbl>
      <w:tblPr>
        <w:tblStyle w:val="21"/>
        <w:tblW w:w="10146" w:type="dxa"/>
        <w:jc w:val="center"/>
        <w:tblCellSpacing w:w="15" w:type="dxa"/>
        <w:tblBorders>
          <w:top w:val="single" w:color="999999" w:sz="6" w:space="0"/>
          <w:left w:val="single" w:color="999999" w:sz="6"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082"/>
        <w:gridCol w:w="1739"/>
        <w:gridCol w:w="1181"/>
        <w:gridCol w:w="1973"/>
        <w:gridCol w:w="1740"/>
        <w:gridCol w:w="1431"/>
      </w:tblGrid>
      <w:tr w14:paraId="08BDD401">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blCellSpacing w:w="15" w:type="dxa"/>
          <w:jc w:val="center"/>
        </w:trPr>
        <w:tc>
          <w:tcPr>
            <w:tcW w:w="2037" w:type="dxa"/>
            <w:tcBorders>
              <w:top w:val="single" w:color="auto" w:sz="6" w:space="0"/>
              <w:left w:val="single" w:color="auto" w:sz="6" w:space="0"/>
              <w:bottom w:val="single" w:color="auto" w:sz="6" w:space="0"/>
              <w:right w:val="single" w:color="auto" w:sz="6" w:space="0"/>
            </w:tcBorders>
            <w:tcMar>
              <w:top w:w="0" w:type="dxa"/>
              <w:left w:w="105" w:type="dxa"/>
              <w:bottom w:w="0" w:type="dxa"/>
              <w:right w:w="105" w:type="dxa"/>
            </w:tcMar>
            <w:vAlign w:val="center"/>
          </w:tcPr>
          <w:p w14:paraId="5EB3D5B6">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行业名称</w:t>
            </w:r>
          </w:p>
        </w:tc>
        <w:tc>
          <w:tcPr>
            <w:tcW w:w="1709" w:type="dxa"/>
            <w:tcBorders>
              <w:top w:val="single" w:color="auto" w:sz="6" w:space="0"/>
              <w:left w:val="nil"/>
              <w:bottom w:val="single" w:color="999999" w:sz="6" w:space="0"/>
              <w:right w:val="single" w:color="999999" w:sz="6" w:space="0"/>
            </w:tcBorders>
            <w:tcMar>
              <w:top w:w="0" w:type="dxa"/>
              <w:left w:w="105" w:type="dxa"/>
              <w:bottom w:w="0" w:type="dxa"/>
              <w:right w:w="105" w:type="dxa"/>
            </w:tcMar>
            <w:vAlign w:val="center"/>
          </w:tcPr>
          <w:p w14:paraId="550B7D66">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指标名称</w:t>
            </w:r>
          </w:p>
        </w:tc>
        <w:tc>
          <w:tcPr>
            <w:tcW w:w="1151" w:type="dxa"/>
            <w:tcBorders>
              <w:top w:val="single" w:color="auto" w:sz="6" w:space="0"/>
              <w:left w:val="nil"/>
              <w:bottom w:val="single" w:color="999999" w:sz="6" w:space="0"/>
              <w:right w:val="single" w:color="999999" w:sz="6" w:space="0"/>
            </w:tcBorders>
            <w:tcMar>
              <w:top w:w="0" w:type="dxa"/>
              <w:left w:w="105" w:type="dxa"/>
              <w:bottom w:w="0" w:type="dxa"/>
              <w:right w:w="105" w:type="dxa"/>
            </w:tcMar>
            <w:vAlign w:val="center"/>
          </w:tcPr>
          <w:p w14:paraId="73E8B702">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计量单位</w:t>
            </w:r>
          </w:p>
        </w:tc>
        <w:tc>
          <w:tcPr>
            <w:tcW w:w="1943" w:type="dxa"/>
            <w:tcBorders>
              <w:top w:val="single" w:color="auto" w:sz="6" w:space="0"/>
              <w:left w:val="nil"/>
              <w:bottom w:val="single" w:color="999999" w:sz="6" w:space="0"/>
              <w:right w:val="single" w:color="999999" w:sz="6" w:space="0"/>
            </w:tcBorders>
            <w:tcMar>
              <w:top w:w="0" w:type="dxa"/>
              <w:left w:w="105" w:type="dxa"/>
              <w:bottom w:w="0" w:type="dxa"/>
              <w:right w:w="105" w:type="dxa"/>
            </w:tcMar>
            <w:vAlign w:val="center"/>
          </w:tcPr>
          <w:p w14:paraId="463042FF">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中型</w:t>
            </w:r>
          </w:p>
        </w:tc>
        <w:tc>
          <w:tcPr>
            <w:tcW w:w="1710" w:type="dxa"/>
            <w:tcBorders>
              <w:top w:val="single" w:color="auto" w:sz="6" w:space="0"/>
              <w:left w:val="nil"/>
              <w:bottom w:val="single" w:color="999999" w:sz="6" w:space="0"/>
              <w:right w:val="single" w:color="999999" w:sz="6" w:space="0"/>
            </w:tcBorders>
            <w:tcMar>
              <w:top w:w="0" w:type="dxa"/>
              <w:left w:w="105" w:type="dxa"/>
              <w:bottom w:w="0" w:type="dxa"/>
              <w:right w:w="105" w:type="dxa"/>
            </w:tcMar>
            <w:vAlign w:val="center"/>
          </w:tcPr>
          <w:p w14:paraId="453853F2">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小型</w:t>
            </w:r>
          </w:p>
        </w:tc>
        <w:tc>
          <w:tcPr>
            <w:tcW w:w="1386" w:type="dxa"/>
            <w:tcBorders>
              <w:top w:val="single" w:color="auto" w:sz="6" w:space="0"/>
              <w:left w:val="nil"/>
              <w:bottom w:val="single" w:color="999999" w:sz="6" w:space="0"/>
              <w:right w:val="single" w:color="999999" w:sz="6" w:space="0"/>
            </w:tcBorders>
            <w:tcMar>
              <w:top w:w="0" w:type="dxa"/>
              <w:left w:w="105" w:type="dxa"/>
              <w:bottom w:w="0" w:type="dxa"/>
              <w:right w:w="105" w:type="dxa"/>
            </w:tcMar>
            <w:vAlign w:val="center"/>
          </w:tcPr>
          <w:p w14:paraId="793BFD6F">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微型</w:t>
            </w:r>
          </w:p>
        </w:tc>
      </w:tr>
      <w:tr w14:paraId="5C2718CD">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blCellSpacing w:w="15" w:type="dxa"/>
          <w:jc w:val="center"/>
        </w:trPr>
        <w:tc>
          <w:tcPr>
            <w:tcW w:w="2037" w:type="dxa"/>
            <w:tcBorders>
              <w:top w:val="nil"/>
              <w:left w:val="single" w:color="auto" w:sz="6" w:space="0"/>
              <w:bottom w:val="single" w:color="999999" w:sz="6" w:space="0"/>
              <w:right w:val="single" w:color="999999" w:sz="6" w:space="0"/>
            </w:tcBorders>
            <w:tcMar>
              <w:top w:w="0" w:type="dxa"/>
              <w:left w:w="105" w:type="dxa"/>
              <w:bottom w:w="0" w:type="dxa"/>
              <w:right w:w="105" w:type="dxa"/>
            </w:tcMar>
            <w:vAlign w:val="center"/>
          </w:tcPr>
          <w:p w14:paraId="034BD5DD">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农、林、牧、渔</w:t>
            </w:r>
          </w:p>
        </w:tc>
        <w:tc>
          <w:tcPr>
            <w:tcW w:w="1709"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103D2A38">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营业收入（Y）</w:t>
            </w:r>
          </w:p>
        </w:tc>
        <w:tc>
          <w:tcPr>
            <w:tcW w:w="1151"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29A9284B">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万元</w:t>
            </w:r>
          </w:p>
        </w:tc>
        <w:tc>
          <w:tcPr>
            <w:tcW w:w="1943"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96FEBB6">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500≤Y＜20000</w:t>
            </w:r>
          </w:p>
        </w:tc>
        <w:tc>
          <w:tcPr>
            <w:tcW w:w="1710"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0E676E7E">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50≤Y＜500</w:t>
            </w:r>
          </w:p>
        </w:tc>
        <w:tc>
          <w:tcPr>
            <w:tcW w:w="1386"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74423D7B">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Y＜50</w:t>
            </w:r>
          </w:p>
        </w:tc>
      </w:tr>
      <w:tr w14:paraId="62961DE5">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blCellSpacing w:w="15" w:type="dxa"/>
          <w:jc w:val="center"/>
        </w:trPr>
        <w:tc>
          <w:tcPr>
            <w:tcW w:w="2037" w:type="dxa"/>
            <w:vMerge w:val="restart"/>
            <w:tcBorders>
              <w:top w:val="nil"/>
              <w:left w:val="single" w:color="auto" w:sz="6" w:space="0"/>
              <w:bottom w:val="single" w:color="999999" w:sz="6" w:space="0"/>
              <w:right w:val="single" w:color="999999" w:sz="6" w:space="0"/>
            </w:tcBorders>
            <w:tcMar>
              <w:top w:w="0" w:type="dxa"/>
              <w:left w:w="105" w:type="dxa"/>
              <w:bottom w:w="0" w:type="dxa"/>
              <w:right w:w="105" w:type="dxa"/>
            </w:tcMar>
            <w:vAlign w:val="center"/>
          </w:tcPr>
          <w:p w14:paraId="174545E9">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工业</w:t>
            </w:r>
          </w:p>
        </w:tc>
        <w:tc>
          <w:tcPr>
            <w:tcW w:w="1709"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6DBCB2F8">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从业人员（X）</w:t>
            </w:r>
          </w:p>
        </w:tc>
        <w:tc>
          <w:tcPr>
            <w:tcW w:w="1151"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91CF0F2">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人</w:t>
            </w:r>
          </w:p>
        </w:tc>
        <w:tc>
          <w:tcPr>
            <w:tcW w:w="1943"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355AD063">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300≤X＜1000</w:t>
            </w:r>
          </w:p>
        </w:tc>
        <w:tc>
          <w:tcPr>
            <w:tcW w:w="1710"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1D89B820">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20≤X＜300</w:t>
            </w:r>
          </w:p>
        </w:tc>
        <w:tc>
          <w:tcPr>
            <w:tcW w:w="1386"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0E5D360">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X＜20</w:t>
            </w:r>
          </w:p>
        </w:tc>
      </w:tr>
      <w:tr w14:paraId="7C7A479E">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blCellSpacing w:w="15" w:type="dxa"/>
          <w:jc w:val="center"/>
        </w:trPr>
        <w:tc>
          <w:tcPr>
            <w:tcW w:w="2037" w:type="dxa"/>
            <w:vMerge w:val="continue"/>
            <w:tcBorders>
              <w:top w:val="nil"/>
              <w:left w:val="single" w:color="auto" w:sz="6" w:space="0"/>
              <w:bottom w:val="single" w:color="999999" w:sz="6" w:space="0"/>
              <w:right w:val="single" w:color="999999" w:sz="6" w:space="0"/>
            </w:tcBorders>
            <w:vAlign w:val="center"/>
          </w:tcPr>
          <w:p w14:paraId="4BDC6181">
            <w:pPr>
              <w:widowControl/>
              <w:spacing w:line="360" w:lineRule="auto"/>
              <w:jc w:val="center"/>
              <w:rPr>
                <w:rFonts w:ascii="宋体" w:hAnsi="宋体"/>
                <w:color w:val="auto"/>
                <w:szCs w:val="21"/>
                <w:highlight w:val="none"/>
              </w:rPr>
            </w:pPr>
          </w:p>
        </w:tc>
        <w:tc>
          <w:tcPr>
            <w:tcW w:w="1709"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499C5529">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营业收入（Y）</w:t>
            </w:r>
          </w:p>
        </w:tc>
        <w:tc>
          <w:tcPr>
            <w:tcW w:w="1151"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23D904B0">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万元</w:t>
            </w:r>
          </w:p>
        </w:tc>
        <w:tc>
          <w:tcPr>
            <w:tcW w:w="1943"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C73DB24">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2000≤Y＜40000</w:t>
            </w:r>
          </w:p>
        </w:tc>
        <w:tc>
          <w:tcPr>
            <w:tcW w:w="1710"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36CD9D4C">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300≤Y＜2000</w:t>
            </w:r>
          </w:p>
        </w:tc>
        <w:tc>
          <w:tcPr>
            <w:tcW w:w="1386"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3A14C732">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Y＜300</w:t>
            </w:r>
          </w:p>
        </w:tc>
      </w:tr>
      <w:tr w14:paraId="0CBA7EE9">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blCellSpacing w:w="15" w:type="dxa"/>
          <w:jc w:val="center"/>
        </w:trPr>
        <w:tc>
          <w:tcPr>
            <w:tcW w:w="2037" w:type="dxa"/>
            <w:vMerge w:val="restart"/>
            <w:tcBorders>
              <w:top w:val="nil"/>
              <w:left w:val="single" w:color="auto" w:sz="6" w:space="0"/>
              <w:bottom w:val="single" w:color="999999" w:sz="6" w:space="0"/>
              <w:right w:val="single" w:color="999999" w:sz="6" w:space="0"/>
            </w:tcBorders>
            <w:tcMar>
              <w:top w:w="0" w:type="dxa"/>
              <w:left w:w="105" w:type="dxa"/>
              <w:bottom w:w="0" w:type="dxa"/>
              <w:right w:w="105" w:type="dxa"/>
            </w:tcMar>
            <w:vAlign w:val="center"/>
          </w:tcPr>
          <w:p w14:paraId="195EA4F3">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建筑业</w:t>
            </w:r>
          </w:p>
        </w:tc>
        <w:tc>
          <w:tcPr>
            <w:tcW w:w="1709"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7AEE4BE0">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营业收入（Y）</w:t>
            </w:r>
          </w:p>
        </w:tc>
        <w:tc>
          <w:tcPr>
            <w:tcW w:w="1151"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694ED9D6">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万元</w:t>
            </w:r>
          </w:p>
        </w:tc>
        <w:tc>
          <w:tcPr>
            <w:tcW w:w="1943"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42C9005">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6000≤Y＜80000</w:t>
            </w:r>
          </w:p>
        </w:tc>
        <w:tc>
          <w:tcPr>
            <w:tcW w:w="1710"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6C5B1EA7">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300≤Y＜6000</w:t>
            </w:r>
          </w:p>
        </w:tc>
        <w:tc>
          <w:tcPr>
            <w:tcW w:w="1386"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3F97A58C">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Y＜300</w:t>
            </w:r>
          </w:p>
        </w:tc>
      </w:tr>
      <w:tr w14:paraId="1224B9DD">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blCellSpacing w:w="15" w:type="dxa"/>
          <w:jc w:val="center"/>
        </w:trPr>
        <w:tc>
          <w:tcPr>
            <w:tcW w:w="2037" w:type="dxa"/>
            <w:vMerge w:val="continue"/>
            <w:tcBorders>
              <w:top w:val="nil"/>
              <w:left w:val="single" w:color="auto" w:sz="6" w:space="0"/>
              <w:bottom w:val="single" w:color="999999" w:sz="6" w:space="0"/>
              <w:right w:val="single" w:color="999999" w:sz="6" w:space="0"/>
            </w:tcBorders>
            <w:vAlign w:val="center"/>
          </w:tcPr>
          <w:p w14:paraId="37BF7DA2">
            <w:pPr>
              <w:widowControl/>
              <w:spacing w:line="360" w:lineRule="auto"/>
              <w:jc w:val="center"/>
              <w:rPr>
                <w:rFonts w:ascii="宋体" w:hAnsi="宋体"/>
                <w:color w:val="auto"/>
                <w:szCs w:val="21"/>
                <w:highlight w:val="none"/>
              </w:rPr>
            </w:pPr>
          </w:p>
        </w:tc>
        <w:tc>
          <w:tcPr>
            <w:tcW w:w="1709"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72FB3459">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资产总额（Z）</w:t>
            </w:r>
          </w:p>
        </w:tc>
        <w:tc>
          <w:tcPr>
            <w:tcW w:w="1151"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321F482F">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万元</w:t>
            </w:r>
          </w:p>
        </w:tc>
        <w:tc>
          <w:tcPr>
            <w:tcW w:w="1943"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58D06CE">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5000≤Z＜80000</w:t>
            </w:r>
          </w:p>
        </w:tc>
        <w:tc>
          <w:tcPr>
            <w:tcW w:w="1710"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6DF85FEC">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300≤Z＜5000</w:t>
            </w:r>
          </w:p>
        </w:tc>
        <w:tc>
          <w:tcPr>
            <w:tcW w:w="1386"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24960270">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Z＜300</w:t>
            </w:r>
          </w:p>
        </w:tc>
      </w:tr>
      <w:tr w14:paraId="14A84E7C">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blCellSpacing w:w="15" w:type="dxa"/>
          <w:jc w:val="center"/>
        </w:trPr>
        <w:tc>
          <w:tcPr>
            <w:tcW w:w="2037" w:type="dxa"/>
            <w:vMerge w:val="restart"/>
            <w:tcBorders>
              <w:top w:val="nil"/>
              <w:left w:val="single" w:color="auto" w:sz="6" w:space="0"/>
              <w:bottom w:val="single" w:color="999999" w:sz="6" w:space="0"/>
              <w:right w:val="single" w:color="999999" w:sz="6" w:space="0"/>
            </w:tcBorders>
            <w:tcMar>
              <w:top w:w="0" w:type="dxa"/>
              <w:left w:w="105" w:type="dxa"/>
              <w:bottom w:w="0" w:type="dxa"/>
              <w:right w:w="105" w:type="dxa"/>
            </w:tcMar>
            <w:vAlign w:val="center"/>
          </w:tcPr>
          <w:p w14:paraId="3E6AA6B0">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批发业</w:t>
            </w:r>
          </w:p>
        </w:tc>
        <w:tc>
          <w:tcPr>
            <w:tcW w:w="1709"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1E9EB584">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从业人员（X）</w:t>
            </w:r>
          </w:p>
        </w:tc>
        <w:tc>
          <w:tcPr>
            <w:tcW w:w="1151"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24CCBA1C">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人</w:t>
            </w:r>
          </w:p>
        </w:tc>
        <w:tc>
          <w:tcPr>
            <w:tcW w:w="1943"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308AAD34">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20≤X＜200</w:t>
            </w:r>
          </w:p>
        </w:tc>
        <w:tc>
          <w:tcPr>
            <w:tcW w:w="1710"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156D329E">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5≤X＜20</w:t>
            </w:r>
          </w:p>
        </w:tc>
        <w:tc>
          <w:tcPr>
            <w:tcW w:w="1386"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4BC88E83">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X＜5</w:t>
            </w:r>
          </w:p>
        </w:tc>
      </w:tr>
      <w:tr w14:paraId="7A4ED573">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blCellSpacing w:w="15" w:type="dxa"/>
          <w:jc w:val="center"/>
        </w:trPr>
        <w:tc>
          <w:tcPr>
            <w:tcW w:w="2037" w:type="dxa"/>
            <w:vMerge w:val="continue"/>
            <w:tcBorders>
              <w:top w:val="nil"/>
              <w:left w:val="single" w:color="auto" w:sz="6" w:space="0"/>
              <w:bottom w:val="single" w:color="999999" w:sz="6" w:space="0"/>
              <w:right w:val="single" w:color="999999" w:sz="6" w:space="0"/>
            </w:tcBorders>
            <w:vAlign w:val="center"/>
          </w:tcPr>
          <w:p w14:paraId="5E7D5A32">
            <w:pPr>
              <w:widowControl/>
              <w:spacing w:line="360" w:lineRule="auto"/>
              <w:jc w:val="center"/>
              <w:rPr>
                <w:rFonts w:ascii="宋体" w:hAnsi="宋体"/>
                <w:color w:val="auto"/>
                <w:szCs w:val="21"/>
                <w:highlight w:val="none"/>
              </w:rPr>
            </w:pPr>
          </w:p>
        </w:tc>
        <w:tc>
          <w:tcPr>
            <w:tcW w:w="1709"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722E337E">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营业收入（Y）</w:t>
            </w:r>
          </w:p>
        </w:tc>
        <w:tc>
          <w:tcPr>
            <w:tcW w:w="1151"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1BC6D5BF">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万元</w:t>
            </w:r>
          </w:p>
        </w:tc>
        <w:tc>
          <w:tcPr>
            <w:tcW w:w="1943"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9B5B3CD">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5000≤Y＜40000</w:t>
            </w:r>
          </w:p>
        </w:tc>
        <w:tc>
          <w:tcPr>
            <w:tcW w:w="1710"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AC040C4">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1000≤Y＜5000</w:t>
            </w:r>
          </w:p>
        </w:tc>
        <w:tc>
          <w:tcPr>
            <w:tcW w:w="1386"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1010C25">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Y＜1000</w:t>
            </w:r>
          </w:p>
        </w:tc>
      </w:tr>
      <w:tr w14:paraId="00381F9E">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blCellSpacing w:w="15" w:type="dxa"/>
          <w:jc w:val="center"/>
        </w:trPr>
        <w:tc>
          <w:tcPr>
            <w:tcW w:w="2037" w:type="dxa"/>
            <w:vMerge w:val="restart"/>
            <w:tcBorders>
              <w:top w:val="nil"/>
              <w:left w:val="single" w:color="auto" w:sz="6" w:space="0"/>
              <w:bottom w:val="single" w:color="999999" w:sz="6" w:space="0"/>
              <w:right w:val="single" w:color="999999" w:sz="6" w:space="0"/>
            </w:tcBorders>
            <w:tcMar>
              <w:top w:w="0" w:type="dxa"/>
              <w:left w:w="105" w:type="dxa"/>
              <w:bottom w:w="0" w:type="dxa"/>
              <w:right w:w="105" w:type="dxa"/>
            </w:tcMar>
            <w:vAlign w:val="center"/>
          </w:tcPr>
          <w:p w14:paraId="7067E3DF">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零售业</w:t>
            </w:r>
          </w:p>
        </w:tc>
        <w:tc>
          <w:tcPr>
            <w:tcW w:w="1709"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967019B">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从业人员（X）</w:t>
            </w:r>
          </w:p>
        </w:tc>
        <w:tc>
          <w:tcPr>
            <w:tcW w:w="1151"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D73767F">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人</w:t>
            </w:r>
          </w:p>
        </w:tc>
        <w:tc>
          <w:tcPr>
            <w:tcW w:w="1943"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49930E3E">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50≤X＜300</w:t>
            </w:r>
          </w:p>
        </w:tc>
        <w:tc>
          <w:tcPr>
            <w:tcW w:w="1710"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677AC9A0">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10≤X＜50</w:t>
            </w:r>
          </w:p>
        </w:tc>
        <w:tc>
          <w:tcPr>
            <w:tcW w:w="1386"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1FBACF21">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X＜10</w:t>
            </w:r>
          </w:p>
        </w:tc>
      </w:tr>
      <w:tr w14:paraId="62847A6E">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blCellSpacing w:w="15" w:type="dxa"/>
          <w:jc w:val="center"/>
        </w:trPr>
        <w:tc>
          <w:tcPr>
            <w:tcW w:w="2037" w:type="dxa"/>
            <w:vMerge w:val="continue"/>
            <w:tcBorders>
              <w:top w:val="nil"/>
              <w:left w:val="single" w:color="auto" w:sz="6" w:space="0"/>
              <w:bottom w:val="single" w:color="999999" w:sz="6" w:space="0"/>
              <w:right w:val="single" w:color="999999" w:sz="6" w:space="0"/>
            </w:tcBorders>
            <w:vAlign w:val="center"/>
          </w:tcPr>
          <w:p w14:paraId="33E6DBC4">
            <w:pPr>
              <w:widowControl/>
              <w:spacing w:line="360" w:lineRule="auto"/>
              <w:jc w:val="center"/>
              <w:rPr>
                <w:rFonts w:ascii="宋体" w:hAnsi="宋体"/>
                <w:color w:val="auto"/>
                <w:szCs w:val="21"/>
                <w:highlight w:val="none"/>
              </w:rPr>
            </w:pPr>
          </w:p>
        </w:tc>
        <w:tc>
          <w:tcPr>
            <w:tcW w:w="1709"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39766F1C">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营业收入（Y）</w:t>
            </w:r>
          </w:p>
        </w:tc>
        <w:tc>
          <w:tcPr>
            <w:tcW w:w="1151"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4857F6ED">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万元</w:t>
            </w:r>
          </w:p>
        </w:tc>
        <w:tc>
          <w:tcPr>
            <w:tcW w:w="1943"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E0084AE">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500≤Y＜20000</w:t>
            </w:r>
          </w:p>
        </w:tc>
        <w:tc>
          <w:tcPr>
            <w:tcW w:w="1710"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0A9B8EDF">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100≤Y＜500</w:t>
            </w:r>
          </w:p>
        </w:tc>
        <w:tc>
          <w:tcPr>
            <w:tcW w:w="1386"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275E3949">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Y＜100</w:t>
            </w:r>
          </w:p>
        </w:tc>
      </w:tr>
      <w:tr w14:paraId="6AEDCE15">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blCellSpacing w:w="15" w:type="dxa"/>
          <w:jc w:val="center"/>
        </w:trPr>
        <w:tc>
          <w:tcPr>
            <w:tcW w:w="2037" w:type="dxa"/>
            <w:vMerge w:val="restart"/>
            <w:tcBorders>
              <w:top w:val="nil"/>
              <w:left w:val="single" w:color="auto" w:sz="6" w:space="0"/>
              <w:bottom w:val="single" w:color="999999" w:sz="6" w:space="0"/>
              <w:right w:val="single" w:color="999999" w:sz="6" w:space="0"/>
            </w:tcBorders>
            <w:tcMar>
              <w:top w:w="0" w:type="dxa"/>
              <w:left w:w="105" w:type="dxa"/>
              <w:bottom w:w="0" w:type="dxa"/>
              <w:right w:w="105" w:type="dxa"/>
            </w:tcMar>
            <w:vAlign w:val="center"/>
          </w:tcPr>
          <w:p w14:paraId="3144CF5A">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交通运输业</w:t>
            </w:r>
          </w:p>
        </w:tc>
        <w:tc>
          <w:tcPr>
            <w:tcW w:w="1709"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78DFF0C3">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从业人员（X）</w:t>
            </w:r>
          </w:p>
        </w:tc>
        <w:tc>
          <w:tcPr>
            <w:tcW w:w="1151"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246625D3">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人</w:t>
            </w:r>
          </w:p>
        </w:tc>
        <w:tc>
          <w:tcPr>
            <w:tcW w:w="1943"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727F2A5F">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300≤X＜1000</w:t>
            </w:r>
          </w:p>
        </w:tc>
        <w:tc>
          <w:tcPr>
            <w:tcW w:w="1710"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7921DD50">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20≤X＜300</w:t>
            </w:r>
          </w:p>
        </w:tc>
        <w:tc>
          <w:tcPr>
            <w:tcW w:w="1386"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6B39314A">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X＜20</w:t>
            </w:r>
          </w:p>
        </w:tc>
      </w:tr>
      <w:tr w14:paraId="5EF38C33">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blCellSpacing w:w="15" w:type="dxa"/>
          <w:jc w:val="center"/>
        </w:trPr>
        <w:tc>
          <w:tcPr>
            <w:tcW w:w="2037" w:type="dxa"/>
            <w:vMerge w:val="continue"/>
            <w:tcBorders>
              <w:top w:val="nil"/>
              <w:left w:val="single" w:color="auto" w:sz="6" w:space="0"/>
              <w:bottom w:val="single" w:color="999999" w:sz="6" w:space="0"/>
              <w:right w:val="single" w:color="999999" w:sz="6" w:space="0"/>
            </w:tcBorders>
            <w:vAlign w:val="center"/>
          </w:tcPr>
          <w:p w14:paraId="17CE4B99">
            <w:pPr>
              <w:widowControl/>
              <w:spacing w:line="360" w:lineRule="auto"/>
              <w:jc w:val="center"/>
              <w:rPr>
                <w:rFonts w:ascii="宋体" w:hAnsi="宋体"/>
                <w:color w:val="auto"/>
                <w:szCs w:val="21"/>
                <w:highlight w:val="none"/>
              </w:rPr>
            </w:pPr>
          </w:p>
        </w:tc>
        <w:tc>
          <w:tcPr>
            <w:tcW w:w="1709"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43DDF44F">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营业收入（Y）</w:t>
            </w:r>
          </w:p>
        </w:tc>
        <w:tc>
          <w:tcPr>
            <w:tcW w:w="1151"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3022C8CD">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万元</w:t>
            </w:r>
          </w:p>
        </w:tc>
        <w:tc>
          <w:tcPr>
            <w:tcW w:w="1943"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32126A7E">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3000≤Y＜30000</w:t>
            </w:r>
          </w:p>
        </w:tc>
        <w:tc>
          <w:tcPr>
            <w:tcW w:w="1710"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1CF66ADF">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200≤Y＜3000</w:t>
            </w:r>
          </w:p>
        </w:tc>
        <w:tc>
          <w:tcPr>
            <w:tcW w:w="1386"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8604744">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Y＜200</w:t>
            </w:r>
          </w:p>
        </w:tc>
      </w:tr>
      <w:tr w14:paraId="5D7CED89">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blCellSpacing w:w="15" w:type="dxa"/>
          <w:jc w:val="center"/>
        </w:trPr>
        <w:tc>
          <w:tcPr>
            <w:tcW w:w="2037" w:type="dxa"/>
            <w:vMerge w:val="restart"/>
            <w:tcBorders>
              <w:top w:val="nil"/>
              <w:left w:val="single" w:color="auto" w:sz="6" w:space="0"/>
              <w:bottom w:val="single" w:color="999999" w:sz="6" w:space="0"/>
              <w:right w:val="single" w:color="999999" w:sz="6" w:space="0"/>
            </w:tcBorders>
            <w:tcMar>
              <w:top w:w="0" w:type="dxa"/>
              <w:left w:w="105" w:type="dxa"/>
              <w:bottom w:w="0" w:type="dxa"/>
              <w:right w:w="105" w:type="dxa"/>
            </w:tcMar>
            <w:vAlign w:val="center"/>
          </w:tcPr>
          <w:p w14:paraId="5FC70FB5">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仓储业</w:t>
            </w:r>
          </w:p>
        </w:tc>
        <w:tc>
          <w:tcPr>
            <w:tcW w:w="1709"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2795C0DD">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从业人员（X）</w:t>
            </w:r>
          </w:p>
        </w:tc>
        <w:tc>
          <w:tcPr>
            <w:tcW w:w="1151"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0CAD402C">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人</w:t>
            </w:r>
          </w:p>
        </w:tc>
        <w:tc>
          <w:tcPr>
            <w:tcW w:w="1943"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017122A">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100≤X＜200</w:t>
            </w:r>
          </w:p>
        </w:tc>
        <w:tc>
          <w:tcPr>
            <w:tcW w:w="1710"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408FE49F">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20≤X＜100</w:t>
            </w:r>
          </w:p>
        </w:tc>
        <w:tc>
          <w:tcPr>
            <w:tcW w:w="1386"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29747CE9">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X＜20</w:t>
            </w:r>
          </w:p>
        </w:tc>
      </w:tr>
      <w:tr w14:paraId="5BDBC5C1">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blCellSpacing w:w="15" w:type="dxa"/>
          <w:jc w:val="center"/>
        </w:trPr>
        <w:tc>
          <w:tcPr>
            <w:tcW w:w="2037" w:type="dxa"/>
            <w:vMerge w:val="continue"/>
            <w:tcBorders>
              <w:top w:val="nil"/>
              <w:left w:val="single" w:color="auto" w:sz="6" w:space="0"/>
              <w:bottom w:val="single" w:color="999999" w:sz="6" w:space="0"/>
              <w:right w:val="single" w:color="999999" w:sz="6" w:space="0"/>
            </w:tcBorders>
            <w:vAlign w:val="center"/>
          </w:tcPr>
          <w:p w14:paraId="37EA6424">
            <w:pPr>
              <w:widowControl/>
              <w:spacing w:line="360" w:lineRule="auto"/>
              <w:jc w:val="center"/>
              <w:rPr>
                <w:rFonts w:ascii="宋体" w:hAnsi="宋体"/>
                <w:color w:val="auto"/>
                <w:szCs w:val="21"/>
                <w:highlight w:val="none"/>
              </w:rPr>
            </w:pPr>
          </w:p>
        </w:tc>
        <w:tc>
          <w:tcPr>
            <w:tcW w:w="1709"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7482A6DB">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营业收入（Y）</w:t>
            </w:r>
          </w:p>
        </w:tc>
        <w:tc>
          <w:tcPr>
            <w:tcW w:w="1151"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6E5E2060">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万元</w:t>
            </w:r>
          </w:p>
        </w:tc>
        <w:tc>
          <w:tcPr>
            <w:tcW w:w="1943"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EEED263">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1000≤Y＜30000</w:t>
            </w:r>
          </w:p>
        </w:tc>
        <w:tc>
          <w:tcPr>
            <w:tcW w:w="1710"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77023E9F">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100≤Y＜1000</w:t>
            </w:r>
          </w:p>
        </w:tc>
        <w:tc>
          <w:tcPr>
            <w:tcW w:w="1386"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8061A33">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Y＜100</w:t>
            </w:r>
          </w:p>
        </w:tc>
      </w:tr>
      <w:tr w14:paraId="6CE12A4B">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blCellSpacing w:w="15" w:type="dxa"/>
          <w:jc w:val="center"/>
        </w:trPr>
        <w:tc>
          <w:tcPr>
            <w:tcW w:w="2037" w:type="dxa"/>
            <w:vMerge w:val="restart"/>
            <w:tcBorders>
              <w:top w:val="nil"/>
              <w:left w:val="single" w:color="auto" w:sz="6" w:space="0"/>
              <w:bottom w:val="single" w:color="999999" w:sz="6" w:space="0"/>
              <w:right w:val="single" w:color="999999" w:sz="6" w:space="0"/>
            </w:tcBorders>
            <w:tcMar>
              <w:top w:w="0" w:type="dxa"/>
              <w:left w:w="105" w:type="dxa"/>
              <w:bottom w:w="0" w:type="dxa"/>
              <w:right w:w="105" w:type="dxa"/>
            </w:tcMar>
            <w:vAlign w:val="center"/>
          </w:tcPr>
          <w:p w14:paraId="51656BA7">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邮政业</w:t>
            </w:r>
          </w:p>
        </w:tc>
        <w:tc>
          <w:tcPr>
            <w:tcW w:w="1709"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1E527CBB">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从业人员（X）</w:t>
            </w:r>
          </w:p>
        </w:tc>
        <w:tc>
          <w:tcPr>
            <w:tcW w:w="1151"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444D372">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人</w:t>
            </w:r>
          </w:p>
        </w:tc>
        <w:tc>
          <w:tcPr>
            <w:tcW w:w="1943"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4FBEA3FA">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300≤X＜1000</w:t>
            </w:r>
          </w:p>
        </w:tc>
        <w:tc>
          <w:tcPr>
            <w:tcW w:w="1710"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78ADAC20">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20≤X＜300</w:t>
            </w:r>
          </w:p>
        </w:tc>
        <w:tc>
          <w:tcPr>
            <w:tcW w:w="1386"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2DD4C987">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X＜20</w:t>
            </w:r>
          </w:p>
        </w:tc>
      </w:tr>
      <w:tr w14:paraId="4B65932E">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blCellSpacing w:w="15" w:type="dxa"/>
          <w:jc w:val="center"/>
        </w:trPr>
        <w:tc>
          <w:tcPr>
            <w:tcW w:w="2037" w:type="dxa"/>
            <w:vMerge w:val="continue"/>
            <w:tcBorders>
              <w:top w:val="nil"/>
              <w:left w:val="single" w:color="auto" w:sz="6" w:space="0"/>
              <w:bottom w:val="single" w:color="999999" w:sz="6" w:space="0"/>
              <w:right w:val="single" w:color="999999" w:sz="6" w:space="0"/>
            </w:tcBorders>
            <w:vAlign w:val="center"/>
          </w:tcPr>
          <w:p w14:paraId="0773DC76">
            <w:pPr>
              <w:widowControl/>
              <w:spacing w:line="360" w:lineRule="auto"/>
              <w:jc w:val="center"/>
              <w:rPr>
                <w:rFonts w:ascii="宋体" w:hAnsi="宋体"/>
                <w:color w:val="auto"/>
                <w:szCs w:val="21"/>
                <w:highlight w:val="none"/>
              </w:rPr>
            </w:pPr>
          </w:p>
        </w:tc>
        <w:tc>
          <w:tcPr>
            <w:tcW w:w="1709"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306994B7">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营业收入（Y）</w:t>
            </w:r>
          </w:p>
        </w:tc>
        <w:tc>
          <w:tcPr>
            <w:tcW w:w="1151"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0F357A61">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万元</w:t>
            </w:r>
          </w:p>
        </w:tc>
        <w:tc>
          <w:tcPr>
            <w:tcW w:w="1943"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71E0E8B9">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2000≤Y＜30000</w:t>
            </w:r>
          </w:p>
        </w:tc>
        <w:tc>
          <w:tcPr>
            <w:tcW w:w="1710"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16F30B2D">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100≤Y＜2000</w:t>
            </w:r>
          </w:p>
        </w:tc>
        <w:tc>
          <w:tcPr>
            <w:tcW w:w="1386"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6D7863B5">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Y＜100</w:t>
            </w:r>
          </w:p>
        </w:tc>
      </w:tr>
      <w:tr w14:paraId="2AA044F5">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blCellSpacing w:w="15" w:type="dxa"/>
          <w:jc w:val="center"/>
        </w:trPr>
        <w:tc>
          <w:tcPr>
            <w:tcW w:w="2037" w:type="dxa"/>
            <w:vMerge w:val="restart"/>
            <w:tcBorders>
              <w:top w:val="nil"/>
              <w:left w:val="single" w:color="auto" w:sz="6" w:space="0"/>
              <w:bottom w:val="single" w:color="999999" w:sz="6" w:space="0"/>
              <w:right w:val="single" w:color="999999" w:sz="6" w:space="0"/>
            </w:tcBorders>
            <w:tcMar>
              <w:top w:w="0" w:type="dxa"/>
              <w:left w:w="105" w:type="dxa"/>
              <w:bottom w:w="0" w:type="dxa"/>
              <w:right w:w="105" w:type="dxa"/>
            </w:tcMar>
            <w:vAlign w:val="center"/>
          </w:tcPr>
          <w:p w14:paraId="6A5CE62A">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住宿业</w:t>
            </w:r>
          </w:p>
        </w:tc>
        <w:tc>
          <w:tcPr>
            <w:tcW w:w="1709"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4811AA15">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从业人员（X）</w:t>
            </w:r>
          </w:p>
        </w:tc>
        <w:tc>
          <w:tcPr>
            <w:tcW w:w="1151"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10FEEBBC">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人</w:t>
            </w:r>
          </w:p>
        </w:tc>
        <w:tc>
          <w:tcPr>
            <w:tcW w:w="1943"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33B6EB4C">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100≤X＜300</w:t>
            </w:r>
          </w:p>
        </w:tc>
        <w:tc>
          <w:tcPr>
            <w:tcW w:w="1710"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142FD27D">
            <w:pPr>
              <w:pStyle w:val="19"/>
              <w:widowControl/>
              <w:spacing w:line="360" w:lineRule="auto"/>
              <w:ind w:firstLine="420"/>
              <w:jc w:val="center"/>
              <w:rPr>
                <w:rFonts w:ascii="宋体" w:hAnsi="宋体"/>
                <w:color w:val="auto"/>
                <w:sz w:val="21"/>
                <w:szCs w:val="21"/>
                <w:highlight w:val="none"/>
              </w:rPr>
            </w:pPr>
            <w:r>
              <w:rPr>
                <w:rStyle w:val="24"/>
                <w:rFonts w:hint="eastAsia" w:ascii="宋体" w:hAnsi="宋体" w:cs="仿宋"/>
                <w:color w:val="auto"/>
                <w:sz w:val="21"/>
                <w:szCs w:val="21"/>
                <w:highlight w:val="none"/>
              </w:rPr>
              <w:t>10≤X＜100</w:t>
            </w:r>
          </w:p>
        </w:tc>
        <w:tc>
          <w:tcPr>
            <w:tcW w:w="1386"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74E45B72">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X＜10</w:t>
            </w:r>
          </w:p>
        </w:tc>
      </w:tr>
      <w:tr w14:paraId="3AA65747">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blCellSpacing w:w="15" w:type="dxa"/>
          <w:jc w:val="center"/>
        </w:trPr>
        <w:tc>
          <w:tcPr>
            <w:tcW w:w="2037" w:type="dxa"/>
            <w:vMerge w:val="continue"/>
            <w:tcBorders>
              <w:top w:val="nil"/>
              <w:left w:val="single" w:color="auto" w:sz="6" w:space="0"/>
              <w:bottom w:val="single" w:color="999999" w:sz="6" w:space="0"/>
              <w:right w:val="single" w:color="999999" w:sz="6" w:space="0"/>
            </w:tcBorders>
            <w:vAlign w:val="center"/>
          </w:tcPr>
          <w:p w14:paraId="21E81008">
            <w:pPr>
              <w:widowControl/>
              <w:spacing w:line="360" w:lineRule="auto"/>
              <w:jc w:val="center"/>
              <w:rPr>
                <w:rFonts w:ascii="宋体" w:hAnsi="宋体"/>
                <w:color w:val="auto"/>
                <w:szCs w:val="21"/>
                <w:highlight w:val="none"/>
              </w:rPr>
            </w:pPr>
          </w:p>
        </w:tc>
        <w:tc>
          <w:tcPr>
            <w:tcW w:w="1709"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0F12C91D">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营业收入（Y）</w:t>
            </w:r>
          </w:p>
        </w:tc>
        <w:tc>
          <w:tcPr>
            <w:tcW w:w="1151"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09AF0FF4">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万元</w:t>
            </w:r>
          </w:p>
        </w:tc>
        <w:tc>
          <w:tcPr>
            <w:tcW w:w="1943"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4E15421E">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2000≤Y＜10000</w:t>
            </w:r>
          </w:p>
        </w:tc>
        <w:tc>
          <w:tcPr>
            <w:tcW w:w="1710"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7F446513">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100≤Y＜2000</w:t>
            </w:r>
          </w:p>
        </w:tc>
        <w:tc>
          <w:tcPr>
            <w:tcW w:w="1386"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1989F36D">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Y＜100</w:t>
            </w:r>
          </w:p>
        </w:tc>
      </w:tr>
      <w:tr w14:paraId="4FE6303C">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blCellSpacing w:w="15" w:type="dxa"/>
          <w:jc w:val="center"/>
        </w:trPr>
        <w:tc>
          <w:tcPr>
            <w:tcW w:w="2037" w:type="dxa"/>
            <w:vMerge w:val="restart"/>
            <w:tcBorders>
              <w:top w:val="nil"/>
              <w:left w:val="single" w:color="auto" w:sz="6" w:space="0"/>
              <w:bottom w:val="single" w:color="999999" w:sz="6" w:space="0"/>
              <w:right w:val="single" w:color="999999" w:sz="6" w:space="0"/>
            </w:tcBorders>
            <w:tcMar>
              <w:top w:w="0" w:type="dxa"/>
              <w:left w:w="105" w:type="dxa"/>
              <w:bottom w:w="0" w:type="dxa"/>
              <w:right w:w="105" w:type="dxa"/>
            </w:tcMar>
            <w:vAlign w:val="center"/>
          </w:tcPr>
          <w:p w14:paraId="26310BAD">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餐饮业</w:t>
            </w:r>
          </w:p>
        </w:tc>
        <w:tc>
          <w:tcPr>
            <w:tcW w:w="1709"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90F97C4">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从业人员（X）</w:t>
            </w:r>
          </w:p>
        </w:tc>
        <w:tc>
          <w:tcPr>
            <w:tcW w:w="1151"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1261BB95">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人</w:t>
            </w:r>
          </w:p>
        </w:tc>
        <w:tc>
          <w:tcPr>
            <w:tcW w:w="1943"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11AE1BC4">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100≤X＜300</w:t>
            </w:r>
          </w:p>
        </w:tc>
        <w:tc>
          <w:tcPr>
            <w:tcW w:w="1710"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0A86B768">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10≤X＜100</w:t>
            </w:r>
          </w:p>
        </w:tc>
        <w:tc>
          <w:tcPr>
            <w:tcW w:w="1386"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40D1CDB2">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X＜10</w:t>
            </w:r>
          </w:p>
        </w:tc>
      </w:tr>
      <w:tr w14:paraId="0F8C453F">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blCellSpacing w:w="15" w:type="dxa"/>
          <w:jc w:val="center"/>
        </w:trPr>
        <w:tc>
          <w:tcPr>
            <w:tcW w:w="2037" w:type="dxa"/>
            <w:vMerge w:val="continue"/>
            <w:tcBorders>
              <w:top w:val="nil"/>
              <w:left w:val="single" w:color="auto" w:sz="6" w:space="0"/>
              <w:bottom w:val="single" w:color="999999" w:sz="6" w:space="0"/>
              <w:right w:val="single" w:color="999999" w:sz="6" w:space="0"/>
            </w:tcBorders>
            <w:vAlign w:val="center"/>
          </w:tcPr>
          <w:p w14:paraId="623625C8">
            <w:pPr>
              <w:widowControl/>
              <w:spacing w:line="360" w:lineRule="auto"/>
              <w:jc w:val="center"/>
              <w:rPr>
                <w:rFonts w:ascii="宋体" w:hAnsi="宋体"/>
                <w:color w:val="auto"/>
                <w:szCs w:val="21"/>
                <w:highlight w:val="none"/>
              </w:rPr>
            </w:pPr>
          </w:p>
        </w:tc>
        <w:tc>
          <w:tcPr>
            <w:tcW w:w="1709"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0D038042">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营业收入（Y）</w:t>
            </w:r>
          </w:p>
        </w:tc>
        <w:tc>
          <w:tcPr>
            <w:tcW w:w="1151"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247778C9">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万元</w:t>
            </w:r>
          </w:p>
        </w:tc>
        <w:tc>
          <w:tcPr>
            <w:tcW w:w="1943"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01901622">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2000≤Y＜10000</w:t>
            </w:r>
          </w:p>
        </w:tc>
        <w:tc>
          <w:tcPr>
            <w:tcW w:w="1710"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761D1126">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100≤Y＜2000</w:t>
            </w:r>
          </w:p>
        </w:tc>
        <w:tc>
          <w:tcPr>
            <w:tcW w:w="1386"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367E3940">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Y＜100</w:t>
            </w:r>
          </w:p>
        </w:tc>
      </w:tr>
      <w:tr w14:paraId="0DA9030F">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blCellSpacing w:w="15" w:type="dxa"/>
          <w:jc w:val="center"/>
        </w:trPr>
        <w:tc>
          <w:tcPr>
            <w:tcW w:w="2037" w:type="dxa"/>
            <w:vMerge w:val="restart"/>
            <w:tcBorders>
              <w:top w:val="nil"/>
              <w:left w:val="single" w:color="auto" w:sz="6" w:space="0"/>
              <w:bottom w:val="single" w:color="999999" w:sz="6" w:space="0"/>
              <w:right w:val="single" w:color="999999" w:sz="6" w:space="0"/>
            </w:tcBorders>
            <w:tcMar>
              <w:top w:w="0" w:type="dxa"/>
              <w:left w:w="105" w:type="dxa"/>
              <w:bottom w:w="0" w:type="dxa"/>
              <w:right w:w="105" w:type="dxa"/>
            </w:tcMar>
            <w:vAlign w:val="center"/>
          </w:tcPr>
          <w:p w14:paraId="78D2AEEB">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信息传输业</w:t>
            </w:r>
          </w:p>
        </w:tc>
        <w:tc>
          <w:tcPr>
            <w:tcW w:w="1709"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30A17087">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从业人员（X）</w:t>
            </w:r>
          </w:p>
        </w:tc>
        <w:tc>
          <w:tcPr>
            <w:tcW w:w="1151"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C84092F">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人</w:t>
            </w:r>
          </w:p>
        </w:tc>
        <w:tc>
          <w:tcPr>
            <w:tcW w:w="1943"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63C0E39">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100≤X＜2000</w:t>
            </w:r>
          </w:p>
        </w:tc>
        <w:tc>
          <w:tcPr>
            <w:tcW w:w="1710"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1EF5A453">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10≤X＜100</w:t>
            </w:r>
          </w:p>
        </w:tc>
        <w:tc>
          <w:tcPr>
            <w:tcW w:w="1386"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DC0CCC7">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X＜10</w:t>
            </w:r>
          </w:p>
        </w:tc>
      </w:tr>
      <w:tr w14:paraId="095F6693">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blCellSpacing w:w="15" w:type="dxa"/>
          <w:jc w:val="center"/>
        </w:trPr>
        <w:tc>
          <w:tcPr>
            <w:tcW w:w="2037" w:type="dxa"/>
            <w:vMerge w:val="continue"/>
            <w:tcBorders>
              <w:top w:val="nil"/>
              <w:left w:val="single" w:color="auto" w:sz="6" w:space="0"/>
              <w:bottom w:val="single" w:color="999999" w:sz="6" w:space="0"/>
              <w:right w:val="single" w:color="999999" w:sz="6" w:space="0"/>
            </w:tcBorders>
            <w:vAlign w:val="center"/>
          </w:tcPr>
          <w:p w14:paraId="4D2A12FD">
            <w:pPr>
              <w:widowControl/>
              <w:spacing w:line="360" w:lineRule="auto"/>
              <w:jc w:val="center"/>
              <w:rPr>
                <w:rFonts w:ascii="宋体" w:hAnsi="宋体"/>
                <w:color w:val="auto"/>
                <w:szCs w:val="21"/>
                <w:highlight w:val="none"/>
              </w:rPr>
            </w:pPr>
          </w:p>
        </w:tc>
        <w:tc>
          <w:tcPr>
            <w:tcW w:w="1709"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61E62AF7">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营业收入（Y）</w:t>
            </w:r>
          </w:p>
        </w:tc>
        <w:tc>
          <w:tcPr>
            <w:tcW w:w="1151"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29837E82">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万元</w:t>
            </w:r>
          </w:p>
        </w:tc>
        <w:tc>
          <w:tcPr>
            <w:tcW w:w="1943"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3FD0F9F1">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1000≤Y＜100000</w:t>
            </w:r>
          </w:p>
        </w:tc>
        <w:tc>
          <w:tcPr>
            <w:tcW w:w="1710"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23AB10E2">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100≤Y＜1000</w:t>
            </w:r>
          </w:p>
        </w:tc>
        <w:tc>
          <w:tcPr>
            <w:tcW w:w="1386"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7D8FC2C5">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Y＜100</w:t>
            </w:r>
          </w:p>
        </w:tc>
      </w:tr>
      <w:tr w14:paraId="0D6563D1">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blCellSpacing w:w="15" w:type="dxa"/>
          <w:jc w:val="center"/>
        </w:trPr>
        <w:tc>
          <w:tcPr>
            <w:tcW w:w="2037" w:type="dxa"/>
            <w:vMerge w:val="restart"/>
            <w:tcBorders>
              <w:top w:val="nil"/>
              <w:left w:val="single" w:color="auto" w:sz="6" w:space="0"/>
              <w:bottom w:val="single" w:color="999999" w:sz="6" w:space="0"/>
              <w:right w:val="single" w:color="999999" w:sz="6" w:space="0"/>
            </w:tcBorders>
            <w:tcMar>
              <w:top w:w="0" w:type="dxa"/>
              <w:left w:w="105" w:type="dxa"/>
              <w:bottom w:w="0" w:type="dxa"/>
              <w:right w:w="105" w:type="dxa"/>
            </w:tcMar>
            <w:vAlign w:val="center"/>
          </w:tcPr>
          <w:p w14:paraId="51692B30">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软件和信息技术服务业</w:t>
            </w:r>
          </w:p>
        </w:tc>
        <w:tc>
          <w:tcPr>
            <w:tcW w:w="1709"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045D121">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从业人员（X）</w:t>
            </w:r>
          </w:p>
        </w:tc>
        <w:tc>
          <w:tcPr>
            <w:tcW w:w="1151"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4B1D8EA8">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人</w:t>
            </w:r>
          </w:p>
        </w:tc>
        <w:tc>
          <w:tcPr>
            <w:tcW w:w="1943"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780B9FE6">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100≤X＜300</w:t>
            </w:r>
          </w:p>
        </w:tc>
        <w:tc>
          <w:tcPr>
            <w:tcW w:w="1710"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1DA35069">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10≤X＜100</w:t>
            </w:r>
          </w:p>
        </w:tc>
        <w:tc>
          <w:tcPr>
            <w:tcW w:w="1386"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6B7F8B41">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X＜10</w:t>
            </w:r>
          </w:p>
        </w:tc>
      </w:tr>
      <w:tr w14:paraId="555AFA2A">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blCellSpacing w:w="15" w:type="dxa"/>
          <w:jc w:val="center"/>
        </w:trPr>
        <w:tc>
          <w:tcPr>
            <w:tcW w:w="2037" w:type="dxa"/>
            <w:vMerge w:val="continue"/>
            <w:tcBorders>
              <w:top w:val="nil"/>
              <w:left w:val="single" w:color="auto" w:sz="6" w:space="0"/>
              <w:bottom w:val="single" w:color="999999" w:sz="6" w:space="0"/>
              <w:right w:val="single" w:color="999999" w:sz="6" w:space="0"/>
            </w:tcBorders>
            <w:vAlign w:val="center"/>
          </w:tcPr>
          <w:p w14:paraId="1E866F79">
            <w:pPr>
              <w:widowControl/>
              <w:spacing w:line="360" w:lineRule="auto"/>
              <w:jc w:val="center"/>
              <w:rPr>
                <w:rFonts w:ascii="宋体" w:hAnsi="宋体"/>
                <w:color w:val="auto"/>
                <w:szCs w:val="21"/>
                <w:highlight w:val="none"/>
              </w:rPr>
            </w:pPr>
          </w:p>
        </w:tc>
        <w:tc>
          <w:tcPr>
            <w:tcW w:w="1709"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736A6673">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营业收入（Y）</w:t>
            </w:r>
          </w:p>
        </w:tc>
        <w:tc>
          <w:tcPr>
            <w:tcW w:w="1151"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CC32CE1">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万元</w:t>
            </w:r>
          </w:p>
        </w:tc>
        <w:tc>
          <w:tcPr>
            <w:tcW w:w="1943"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4B18BAB3">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1000≤Y＜10000</w:t>
            </w:r>
          </w:p>
        </w:tc>
        <w:tc>
          <w:tcPr>
            <w:tcW w:w="1710"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430546BB">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50≤Y＜1000</w:t>
            </w:r>
          </w:p>
        </w:tc>
        <w:tc>
          <w:tcPr>
            <w:tcW w:w="1386"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0A7B5551">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Y＜50</w:t>
            </w:r>
          </w:p>
        </w:tc>
      </w:tr>
      <w:tr w14:paraId="10810214">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blCellSpacing w:w="15" w:type="dxa"/>
          <w:jc w:val="center"/>
        </w:trPr>
        <w:tc>
          <w:tcPr>
            <w:tcW w:w="2037" w:type="dxa"/>
            <w:vMerge w:val="restart"/>
            <w:tcBorders>
              <w:top w:val="nil"/>
              <w:left w:val="single" w:color="auto" w:sz="6" w:space="0"/>
              <w:bottom w:val="single" w:color="999999" w:sz="6" w:space="0"/>
              <w:right w:val="single" w:color="999999" w:sz="6" w:space="0"/>
            </w:tcBorders>
            <w:tcMar>
              <w:top w:w="0" w:type="dxa"/>
              <w:left w:w="105" w:type="dxa"/>
              <w:bottom w:w="0" w:type="dxa"/>
              <w:right w:w="105" w:type="dxa"/>
            </w:tcMar>
            <w:vAlign w:val="center"/>
          </w:tcPr>
          <w:p w14:paraId="7C35028B">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房地产开发经营</w:t>
            </w:r>
          </w:p>
        </w:tc>
        <w:tc>
          <w:tcPr>
            <w:tcW w:w="1709"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407694C0">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营业收入（Y）</w:t>
            </w:r>
          </w:p>
        </w:tc>
        <w:tc>
          <w:tcPr>
            <w:tcW w:w="1151"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71D80B60">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万元</w:t>
            </w:r>
          </w:p>
        </w:tc>
        <w:tc>
          <w:tcPr>
            <w:tcW w:w="1943"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8679C42">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1000≤Y＜200000</w:t>
            </w:r>
          </w:p>
        </w:tc>
        <w:tc>
          <w:tcPr>
            <w:tcW w:w="1710"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265BCCE4">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100≤X＜1000</w:t>
            </w:r>
          </w:p>
        </w:tc>
        <w:tc>
          <w:tcPr>
            <w:tcW w:w="1386"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6CF667D3">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X＜100</w:t>
            </w:r>
          </w:p>
        </w:tc>
      </w:tr>
      <w:tr w14:paraId="29FB8466">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blCellSpacing w:w="15" w:type="dxa"/>
          <w:jc w:val="center"/>
        </w:trPr>
        <w:tc>
          <w:tcPr>
            <w:tcW w:w="2037" w:type="dxa"/>
            <w:vMerge w:val="continue"/>
            <w:tcBorders>
              <w:top w:val="nil"/>
              <w:left w:val="single" w:color="auto" w:sz="6" w:space="0"/>
              <w:bottom w:val="single" w:color="999999" w:sz="6" w:space="0"/>
              <w:right w:val="single" w:color="999999" w:sz="6" w:space="0"/>
            </w:tcBorders>
            <w:vAlign w:val="center"/>
          </w:tcPr>
          <w:p w14:paraId="4D523E09">
            <w:pPr>
              <w:widowControl/>
              <w:spacing w:line="360" w:lineRule="auto"/>
              <w:jc w:val="center"/>
              <w:rPr>
                <w:rFonts w:ascii="宋体" w:hAnsi="宋体"/>
                <w:color w:val="auto"/>
                <w:szCs w:val="21"/>
                <w:highlight w:val="none"/>
              </w:rPr>
            </w:pPr>
          </w:p>
        </w:tc>
        <w:tc>
          <w:tcPr>
            <w:tcW w:w="1709"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0B3E9169">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资产总额（Z）</w:t>
            </w:r>
          </w:p>
        </w:tc>
        <w:tc>
          <w:tcPr>
            <w:tcW w:w="1151"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105088CE">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万元</w:t>
            </w:r>
          </w:p>
        </w:tc>
        <w:tc>
          <w:tcPr>
            <w:tcW w:w="1943"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05BB0AFA">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5000≤Z＜10000</w:t>
            </w:r>
          </w:p>
        </w:tc>
        <w:tc>
          <w:tcPr>
            <w:tcW w:w="1710"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2FFD8180">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2000≤Y＜5000</w:t>
            </w:r>
          </w:p>
        </w:tc>
        <w:tc>
          <w:tcPr>
            <w:tcW w:w="1386"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518FC3E">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Y＜2000</w:t>
            </w:r>
          </w:p>
        </w:tc>
      </w:tr>
      <w:tr w14:paraId="7622B1B0">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blCellSpacing w:w="15" w:type="dxa"/>
          <w:jc w:val="center"/>
        </w:trPr>
        <w:tc>
          <w:tcPr>
            <w:tcW w:w="2037" w:type="dxa"/>
            <w:vMerge w:val="restart"/>
            <w:tcBorders>
              <w:top w:val="nil"/>
              <w:left w:val="single" w:color="auto" w:sz="6" w:space="0"/>
              <w:bottom w:val="single" w:color="999999" w:sz="6" w:space="0"/>
              <w:right w:val="single" w:color="999999" w:sz="6" w:space="0"/>
            </w:tcBorders>
            <w:tcMar>
              <w:top w:w="0" w:type="dxa"/>
              <w:left w:w="105" w:type="dxa"/>
              <w:bottom w:w="0" w:type="dxa"/>
              <w:right w:w="105" w:type="dxa"/>
            </w:tcMar>
            <w:vAlign w:val="center"/>
          </w:tcPr>
          <w:p w14:paraId="6FBB6C3F">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物业管理</w:t>
            </w:r>
          </w:p>
        </w:tc>
        <w:tc>
          <w:tcPr>
            <w:tcW w:w="1709"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CB3A9C5">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从业人员（X）</w:t>
            </w:r>
          </w:p>
        </w:tc>
        <w:tc>
          <w:tcPr>
            <w:tcW w:w="1151"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7059B1DD">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人</w:t>
            </w:r>
          </w:p>
        </w:tc>
        <w:tc>
          <w:tcPr>
            <w:tcW w:w="1943"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3CACF7F4">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300≤X＜1000</w:t>
            </w:r>
          </w:p>
        </w:tc>
        <w:tc>
          <w:tcPr>
            <w:tcW w:w="1710"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2AAEE8D">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100≤X＜300</w:t>
            </w:r>
          </w:p>
        </w:tc>
        <w:tc>
          <w:tcPr>
            <w:tcW w:w="1386"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1A2047CF">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X＜100</w:t>
            </w:r>
          </w:p>
        </w:tc>
      </w:tr>
      <w:tr w14:paraId="0D1E0620">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blCellSpacing w:w="15" w:type="dxa"/>
          <w:jc w:val="center"/>
        </w:trPr>
        <w:tc>
          <w:tcPr>
            <w:tcW w:w="2037" w:type="dxa"/>
            <w:vMerge w:val="continue"/>
            <w:tcBorders>
              <w:top w:val="nil"/>
              <w:left w:val="single" w:color="auto" w:sz="6" w:space="0"/>
              <w:bottom w:val="single" w:color="999999" w:sz="6" w:space="0"/>
              <w:right w:val="single" w:color="999999" w:sz="6" w:space="0"/>
            </w:tcBorders>
            <w:vAlign w:val="center"/>
          </w:tcPr>
          <w:p w14:paraId="6A6DB864">
            <w:pPr>
              <w:widowControl/>
              <w:spacing w:line="360" w:lineRule="auto"/>
              <w:jc w:val="center"/>
              <w:rPr>
                <w:rFonts w:ascii="宋体" w:hAnsi="宋体"/>
                <w:color w:val="auto"/>
                <w:szCs w:val="21"/>
                <w:highlight w:val="none"/>
              </w:rPr>
            </w:pPr>
          </w:p>
        </w:tc>
        <w:tc>
          <w:tcPr>
            <w:tcW w:w="1709"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F06C865">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营业收入（Y）</w:t>
            </w:r>
          </w:p>
        </w:tc>
        <w:tc>
          <w:tcPr>
            <w:tcW w:w="1151"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2A8A66D">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万元</w:t>
            </w:r>
          </w:p>
        </w:tc>
        <w:tc>
          <w:tcPr>
            <w:tcW w:w="1943"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6290F9C9">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1000≤Y＜5000</w:t>
            </w:r>
          </w:p>
        </w:tc>
        <w:tc>
          <w:tcPr>
            <w:tcW w:w="1710"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61B848DA">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500≤Y＜1000</w:t>
            </w:r>
          </w:p>
        </w:tc>
        <w:tc>
          <w:tcPr>
            <w:tcW w:w="1386"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DB2036E">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Y＜500</w:t>
            </w:r>
          </w:p>
        </w:tc>
      </w:tr>
      <w:tr w14:paraId="60A4277C">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blCellSpacing w:w="15" w:type="dxa"/>
          <w:jc w:val="center"/>
        </w:trPr>
        <w:tc>
          <w:tcPr>
            <w:tcW w:w="2037" w:type="dxa"/>
            <w:vMerge w:val="restart"/>
            <w:tcBorders>
              <w:top w:val="nil"/>
              <w:left w:val="single" w:color="auto" w:sz="6" w:space="0"/>
              <w:bottom w:val="single" w:color="999999" w:sz="6" w:space="0"/>
              <w:right w:val="single" w:color="999999" w:sz="6" w:space="0"/>
            </w:tcBorders>
            <w:tcMar>
              <w:top w:w="0" w:type="dxa"/>
              <w:left w:w="105" w:type="dxa"/>
              <w:bottom w:w="0" w:type="dxa"/>
              <w:right w:w="105" w:type="dxa"/>
            </w:tcMar>
            <w:vAlign w:val="center"/>
          </w:tcPr>
          <w:p w14:paraId="3E86A6AE">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租赁和商务服务业</w:t>
            </w:r>
          </w:p>
        </w:tc>
        <w:tc>
          <w:tcPr>
            <w:tcW w:w="1709"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4509788E">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从业人员（X）</w:t>
            </w:r>
          </w:p>
        </w:tc>
        <w:tc>
          <w:tcPr>
            <w:tcW w:w="1151"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6A0D5166">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人</w:t>
            </w:r>
          </w:p>
        </w:tc>
        <w:tc>
          <w:tcPr>
            <w:tcW w:w="1943"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131BB56D">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100≤X＜300</w:t>
            </w:r>
          </w:p>
        </w:tc>
        <w:tc>
          <w:tcPr>
            <w:tcW w:w="1710"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4F15FBE">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10≤X＜100</w:t>
            </w:r>
          </w:p>
        </w:tc>
        <w:tc>
          <w:tcPr>
            <w:tcW w:w="1386"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37D9546B">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X＜10</w:t>
            </w:r>
          </w:p>
        </w:tc>
      </w:tr>
      <w:tr w14:paraId="289D4C1F">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blCellSpacing w:w="15" w:type="dxa"/>
          <w:jc w:val="center"/>
        </w:trPr>
        <w:tc>
          <w:tcPr>
            <w:tcW w:w="2037" w:type="dxa"/>
            <w:vMerge w:val="continue"/>
            <w:tcBorders>
              <w:top w:val="nil"/>
              <w:left w:val="single" w:color="auto" w:sz="6" w:space="0"/>
              <w:bottom w:val="single" w:color="999999" w:sz="6" w:space="0"/>
              <w:right w:val="single" w:color="999999" w:sz="6" w:space="0"/>
            </w:tcBorders>
            <w:vAlign w:val="center"/>
          </w:tcPr>
          <w:p w14:paraId="08B66BA0">
            <w:pPr>
              <w:widowControl/>
              <w:spacing w:line="360" w:lineRule="auto"/>
              <w:jc w:val="center"/>
              <w:rPr>
                <w:rFonts w:ascii="宋体" w:hAnsi="宋体"/>
                <w:color w:val="auto"/>
                <w:szCs w:val="21"/>
                <w:highlight w:val="none"/>
              </w:rPr>
            </w:pPr>
          </w:p>
        </w:tc>
        <w:tc>
          <w:tcPr>
            <w:tcW w:w="1709"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31B6D63">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资产总额（Z）</w:t>
            </w:r>
          </w:p>
        </w:tc>
        <w:tc>
          <w:tcPr>
            <w:tcW w:w="1151"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32E3ABAB">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万元</w:t>
            </w:r>
          </w:p>
        </w:tc>
        <w:tc>
          <w:tcPr>
            <w:tcW w:w="1943"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791B3A37">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8000≤Z＜120000</w:t>
            </w:r>
          </w:p>
        </w:tc>
        <w:tc>
          <w:tcPr>
            <w:tcW w:w="1710"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556AC992">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100≤Z＜8000</w:t>
            </w:r>
          </w:p>
        </w:tc>
        <w:tc>
          <w:tcPr>
            <w:tcW w:w="1386"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41AA66DB">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Y＜100</w:t>
            </w:r>
          </w:p>
        </w:tc>
      </w:tr>
      <w:tr w14:paraId="591CA543">
        <w:tblPrEx>
          <w:tblBorders>
            <w:top w:val="single" w:color="999999" w:sz="6" w:space="0"/>
            <w:left w:val="single" w:color="999999" w:sz="6"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blCellSpacing w:w="15" w:type="dxa"/>
          <w:jc w:val="center"/>
        </w:trPr>
        <w:tc>
          <w:tcPr>
            <w:tcW w:w="2037" w:type="dxa"/>
            <w:tcBorders>
              <w:top w:val="nil"/>
              <w:left w:val="single" w:color="auto" w:sz="6" w:space="0"/>
              <w:bottom w:val="single" w:color="999999" w:sz="6" w:space="0"/>
              <w:right w:val="single" w:color="999999" w:sz="6" w:space="0"/>
            </w:tcBorders>
            <w:tcMar>
              <w:top w:w="0" w:type="dxa"/>
              <w:left w:w="105" w:type="dxa"/>
              <w:bottom w:w="0" w:type="dxa"/>
              <w:right w:w="105" w:type="dxa"/>
            </w:tcMar>
            <w:vAlign w:val="center"/>
          </w:tcPr>
          <w:p w14:paraId="30320A0B">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其他未列明行业</w:t>
            </w:r>
          </w:p>
        </w:tc>
        <w:tc>
          <w:tcPr>
            <w:tcW w:w="1709"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2D00F636">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从业人员（X）</w:t>
            </w:r>
          </w:p>
        </w:tc>
        <w:tc>
          <w:tcPr>
            <w:tcW w:w="1151"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3FF47B4A">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人</w:t>
            </w:r>
          </w:p>
        </w:tc>
        <w:tc>
          <w:tcPr>
            <w:tcW w:w="1943"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7D075658">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100≤X＜300</w:t>
            </w:r>
          </w:p>
        </w:tc>
        <w:tc>
          <w:tcPr>
            <w:tcW w:w="1710"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69A1BCBC">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10≤X＜100</w:t>
            </w:r>
          </w:p>
        </w:tc>
        <w:tc>
          <w:tcPr>
            <w:tcW w:w="1386" w:type="dxa"/>
            <w:tcBorders>
              <w:top w:val="nil"/>
              <w:left w:val="nil"/>
              <w:bottom w:val="single" w:color="999999" w:sz="6" w:space="0"/>
              <w:right w:val="single" w:color="999999" w:sz="6" w:space="0"/>
            </w:tcBorders>
            <w:tcMar>
              <w:top w:w="0" w:type="dxa"/>
              <w:left w:w="105" w:type="dxa"/>
              <w:bottom w:w="0" w:type="dxa"/>
              <w:right w:w="105" w:type="dxa"/>
            </w:tcMar>
            <w:vAlign w:val="center"/>
          </w:tcPr>
          <w:p w14:paraId="432EE156">
            <w:pPr>
              <w:pStyle w:val="19"/>
              <w:widowControl/>
              <w:spacing w:line="360" w:lineRule="auto"/>
              <w:jc w:val="center"/>
              <w:rPr>
                <w:rFonts w:ascii="宋体" w:hAnsi="宋体"/>
                <w:color w:val="auto"/>
                <w:sz w:val="21"/>
                <w:szCs w:val="21"/>
                <w:highlight w:val="none"/>
              </w:rPr>
            </w:pPr>
            <w:r>
              <w:rPr>
                <w:rStyle w:val="24"/>
                <w:rFonts w:hint="eastAsia" w:ascii="宋体" w:hAnsi="宋体" w:cs="仿宋"/>
                <w:color w:val="auto"/>
                <w:sz w:val="21"/>
                <w:szCs w:val="21"/>
                <w:highlight w:val="none"/>
              </w:rPr>
              <w:t>X＜10</w:t>
            </w:r>
          </w:p>
        </w:tc>
      </w:tr>
    </w:tbl>
    <w:p w14:paraId="5192CCCA">
      <w:pPr>
        <w:pStyle w:val="19"/>
        <w:widowControl/>
        <w:spacing w:line="360" w:lineRule="auto"/>
        <w:ind w:firstLine="810"/>
        <w:rPr>
          <w:rStyle w:val="24"/>
          <w:rFonts w:ascii="宋体" w:hAnsi="宋体" w:cs="仿宋"/>
          <w:color w:val="auto"/>
          <w:sz w:val="21"/>
          <w:szCs w:val="21"/>
          <w:highlight w:val="none"/>
        </w:rPr>
      </w:pPr>
      <w:r>
        <w:rPr>
          <w:rStyle w:val="24"/>
          <w:rFonts w:hint="eastAsia" w:ascii="宋体" w:hAnsi="宋体" w:cs="仿宋"/>
          <w:color w:val="auto"/>
          <w:sz w:val="21"/>
          <w:szCs w:val="21"/>
          <w:highlight w:val="none"/>
        </w:rPr>
        <w:t>说明：上述标准参照《关于印发中小企业划型标准规定的通知》（工信部联企业[2011]300号），大型、中型和小型企业须同时满足所列指标的下限，否则下划一档；微型企业只须满足所列指标中的一项即可。</w:t>
      </w:r>
    </w:p>
    <w:p w14:paraId="114B1DC4">
      <w:pPr>
        <w:pStyle w:val="4"/>
        <w:spacing w:line="360" w:lineRule="auto"/>
        <w:rPr>
          <w:rStyle w:val="24"/>
          <w:rFonts w:ascii="宋体" w:hAnsi="宋体" w:cs="仿宋"/>
          <w:b w:val="0"/>
          <w:color w:val="auto"/>
          <w:sz w:val="21"/>
          <w:szCs w:val="21"/>
          <w:highlight w:val="none"/>
        </w:rPr>
      </w:pPr>
      <w:r>
        <w:rPr>
          <w:rStyle w:val="24"/>
          <w:rFonts w:ascii="宋体" w:hAnsi="宋体" w:cs="仿宋"/>
          <w:b w:val="0"/>
          <w:color w:val="auto"/>
          <w:sz w:val="21"/>
          <w:szCs w:val="21"/>
          <w:highlight w:val="none"/>
        </w:rPr>
        <w:br w:type="page"/>
      </w:r>
    </w:p>
    <w:p w14:paraId="0E74AEA1">
      <w:pPr>
        <w:spacing w:line="360" w:lineRule="auto"/>
        <w:ind w:firstLine="2726" w:firstLineChars="1293"/>
        <w:rPr>
          <w:rFonts w:ascii="宋体" w:hAnsi="宋体"/>
          <w:b/>
          <w:bCs/>
          <w:color w:val="auto"/>
          <w:highlight w:val="none"/>
        </w:rPr>
      </w:pPr>
      <w:r>
        <w:rPr>
          <w:rFonts w:hint="eastAsia" w:ascii="宋体" w:hAnsi="宋体"/>
          <w:b/>
          <w:bCs/>
          <w:color w:val="auto"/>
          <w:highlight w:val="none"/>
        </w:rPr>
        <w:t>残疾人福利性单位声明函</w:t>
      </w:r>
    </w:p>
    <w:p w14:paraId="60AEF282">
      <w:pPr>
        <w:spacing w:line="360" w:lineRule="auto"/>
        <w:ind w:firstLine="624" w:firstLineChars="200"/>
        <w:rPr>
          <w:rFonts w:ascii="宋体" w:hAnsi="宋体"/>
          <w:color w:val="auto"/>
          <w:spacing w:val="6"/>
          <w:sz w:val="30"/>
          <w:szCs w:val="30"/>
          <w:highlight w:val="none"/>
        </w:rPr>
      </w:pPr>
    </w:p>
    <w:p w14:paraId="5AA9F85E">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本单位郑重声明，根据《财政部 民政部 中国残疾人联合会关于促进残疾人就业政府采购政策的通知》（财库〔2017〕 141号）的规定，本单位为符合条件的残疾人福利性单位，且本单位参加______单位的采购文件编号为______的项目采购活动提供本单位制造的产品或服务（由本单位承担工程/提供服务），或者提供其他残疾人福利性单位制造的产品或服务（不包括使用非残疾人福利性单位注册商标的产品或服务）。</w:t>
      </w:r>
    </w:p>
    <w:p w14:paraId="409CA3EF">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本单位在本次政府采购活动中提供的残疾人福利单位产品报价合计为人民币（大写）圆整（￥：     ）。</w:t>
      </w:r>
    </w:p>
    <w:p w14:paraId="52626633">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本单位对上述声明的真实性负责。如有虚假，将依法承担相应责任。</w:t>
      </w:r>
    </w:p>
    <w:p w14:paraId="600E3404">
      <w:pPr>
        <w:spacing w:line="360" w:lineRule="auto"/>
        <w:ind w:firstLine="420" w:firstLineChars="200"/>
        <w:rPr>
          <w:rFonts w:ascii="宋体" w:hAnsi="宋体"/>
          <w:color w:val="auto"/>
          <w:szCs w:val="21"/>
          <w:highlight w:val="none"/>
        </w:rPr>
      </w:pPr>
    </w:p>
    <w:p w14:paraId="16735C4E">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（备注：1、供应商如不提供此声明函，价格将不做相应扣除。2、中标供应商为残疾人福利单位的，此声明函将随中标结果同时公告，接受社会监督）</w:t>
      </w:r>
    </w:p>
    <w:p w14:paraId="646CA120">
      <w:pPr>
        <w:spacing w:line="360" w:lineRule="auto"/>
        <w:ind w:firstLine="444" w:firstLineChars="200"/>
        <w:rPr>
          <w:rFonts w:ascii="宋体" w:hAnsi="宋体"/>
          <w:color w:val="auto"/>
          <w:spacing w:val="6"/>
          <w:szCs w:val="21"/>
          <w:highlight w:val="none"/>
        </w:rPr>
      </w:pPr>
    </w:p>
    <w:p w14:paraId="2B3C8324">
      <w:pPr>
        <w:tabs>
          <w:tab w:val="left" w:pos="4860"/>
        </w:tabs>
        <w:spacing w:line="360" w:lineRule="auto"/>
        <w:ind w:right="1560" w:firstLine="420" w:firstLineChars="200"/>
        <w:jc w:val="center"/>
        <w:rPr>
          <w:rFonts w:ascii="宋体" w:hAnsi="宋体"/>
          <w:color w:val="auto"/>
          <w:szCs w:val="21"/>
          <w:highlight w:val="none"/>
        </w:rPr>
      </w:pPr>
      <w:r>
        <w:rPr>
          <w:rFonts w:hint="eastAsia" w:ascii="宋体" w:hAnsi="宋体"/>
          <w:color w:val="auto"/>
          <w:szCs w:val="21"/>
          <w:highlight w:val="none"/>
        </w:rPr>
        <w:t xml:space="preserve">               供应商全称（盖章）：</w:t>
      </w:r>
    </w:p>
    <w:p w14:paraId="04838A7F">
      <w:pPr>
        <w:tabs>
          <w:tab w:val="left" w:pos="4860"/>
        </w:tabs>
        <w:spacing w:line="360" w:lineRule="auto"/>
        <w:ind w:right="1560" w:firstLine="420" w:firstLineChars="200"/>
        <w:jc w:val="center"/>
        <w:rPr>
          <w:rFonts w:ascii="宋体" w:hAnsi="宋体"/>
          <w:color w:val="auto"/>
          <w:szCs w:val="21"/>
          <w:highlight w:val="none"/>
        </w:rPr>
      </w:pPr>
      <w:r>
        <w:rPr>
          <w:rFonts w:hint="eastAsia" w:ascii="宋体" w:hAnsi="宋体"/>
          <w:color w:val="auto"/>
          <w:szCs w:val="21"/>
          <w:highlight w:val="none"/>
        </w:rPr>
        <w:t xml:space="preserve">                              日  期：</w:t>
      </w:r>
    </w:p>
    <w:p w14:paraId="57BD713E">
      <w:pPr>
        <w:widowControl/>
        <w:spacing w:line="360" w:lineRule="auto"/>
        <w:jc w:val="left"/>
        <w:rPr>
          <w:rFonts w:ascii="宋体" w:hAnsi="宋体" w:cs="Arial"/>
          <w:b/>
          <w:bCs/>
          <w:color w:val="auto"/>
          <w:highlight w:val="none"/>
        </w:rPr>
      </w:pPr>
    </w:p>
    <w:p w14:paraId="75B14C79">
      <w:pPr>
        <w:widowControl/>
        <w:spacing w:line="360" w:lineRule="auto"/>
        <w:jc w:val="left"/>
        <w:rPr>
          <w:rFonts w:ascii="宋体" w:hAnsi="宋体" w:cs="Arial"/>
          <w:b/>
          <w:bCs/>
          <w:color w:val="auto"/>
          <w:highlight w:val="none"/>
        </w:rPr>
      </w:pPr>
    </w:p>
    <w:p w14:paraId="19A3053E">
      <w:pPr>
        <w:widowControl/>
        <w:spacing w:line="360" w:lineRule="auto"/>
        <w:jc w:val="left"/>
        <w:rPr>
          <w:rFonts w:ascii="宋体" w:hAnsi="宋体" w:cs="Arial"/>
          <w:b/>
          <w:bCs/>
          <w:color w:val="auto"/>
          <w:highlight w:val="none"/>
        </w:rPr>
      </w:pPr>
    </w:p>
    <w:p w14:paraId="314C6592">
      <w:pPr>
        <w:widowControl/>
        <w:spacing w:line="360" w:lineRule="auto"/>
        <w:jc w:val="left"/>
        <w:rPr>
          <w:rFonts w:ascii="宋体" w:hAnsi="宋体" w:cs="Arial"/>
          <w:b/>
          <w:bCs/>
          <w:color w:val="auto"/>
          <w:highlight w:val="none"/>
        </w:rPr>
      </w:pPr>
    </w:p>
    <w:p w14:paraId="60BD11A9">
      <w:pPr>
        <w:widowControl/>
        <w:spacing w:line="360" w:lineRule="auto"/>
        <w:jc w:val="left"/>
        <w:rPr>
          <w:rFonts w:ascii="宋体" w:hAnsi="宋体" w:cs="Arial"/>
          <w:b/>
          <w:bCs/>
          <w:color w:val="auto"/>
          <w:highlight w:val="none"/>
        </w:rPr>
      </w:pPr>
    </w:p>
    <w:p w14:paraId="7638E5F1">
      <w:pPr>
        <w:widowControl/>
        <w:spacing w:line="360" w:lineRule="auto"/>
        <w:jc w:val="left"/>
        <w:rPr>
          <w:rFonts w:ascii="宋体" w:hAnsi="宋体" w:cs="Arial"/>
          <w:b/>
          <w:bCs/>
          <w:color w:val="auto"/>
          <w:highlight w:val="none"/>
        </w:rPr>
      </w:pPr>
    </w:p>
    <w:p w14:paraId="1EFA704D">
      <w:pPr>
        <w:widowControl/>
        <w:spacing w:line="360" w:lineRule="auto"/>
        <w:jc w:val="left"/>
        <w:rPr>
          <w:rFonts w:ascii="宋体" w:hAnsi="宋体" w:cs="Arial"/>
          <w:b/>
          <w:bCs/>
          <w:color w:val="auto"/>
          <w:highlight w:val="none"/>
        </w:rPr>
      </w:pPr>
    </w:p>
    <w:p w14:paraId="17B4F974">
      <w:pPr>
        <w:spacing w:line="360" w:lineRule="auto"/>
        <w:jc w:val="center"/>
        <w:rPr>
          <w:rFonts w:ascii="宋体" w:hAnsi="宋体" w:cs="Arial"/>
          <w:b/>
          <w:bCs/>
          <w:color w:val="auto"/>
          <w:highlight w:val="none"/>
        </w:rPr>
      </w:pPr>
    </w:p>
    <w:p w14:paraId="1ABDB5CB">
      <w:pPr>
        <w:widowControl/>
        <w:spacing w:line="360" w:lineRule="auto"/>
        <w:jc w:val="left"/>
        <w:rPr>
          <w:rFonts w:ascii="宋体" w:hAnsi="宋体" w:cs="Arial"/>
          <w:b/>
          <w:bCs/>
          <w:color w:val="auto"/>
          <w:highlight w:val="none"/>
        </w:rPr>
      </w:pPr>
    </w:p>
    <w:p w14:paraId="106F634A">
      <w:pPr>
        <w:widowControl/>
        <w:spacing w:line="360" w:lineRule="auto"/>
        <w:jc w:val="left"/>
        <w:rPr>
          <w:rFonts w:ascii="宋体" w:hAnsi="宋体" w:cs="Arial"/>
          <w:b/>
          <w:bCs/>
          <w:color w:val="auto"/>
          <w:highlight w:val="none"/>
        </w:rPr>
      </w:pPr>
    </w:p>
    <w:p w14:paraId="28364B1B">
      <w:pPr>
        <w:spacing w:line="360" w:lineRule="auto"/>
        <w:rPr>
          <w:rFonts w:ascii="宋体" w:hAnsi="宋体"/>
          <w:b/>
          <w:color w:val="auto"/>
          <w:sz w:val="32"/>
          <w:szCs w:val="32"/>
          <w:highlight w:val="none"/>
        </w:rPr>
      </w:pPr>
      <w:r>
        <w:rPr>
          <w:rFonts w:hint="eastAsia" w:ascii="宋体" w:hAnsi="宋体"/>
          <w:b/>
          <w:color w:val="auto"/>
          <w:sz w:val="32"/>
          <w:szCs w:val="32"/>
          <w:highlight w:val="none"/>
        </w:rPr>
        <w:br w:type="page"/>
      </w:r>
    </w:p>
    <w:p w14:paraId="1398EB4C">
      <w:pPr>
        <w:pStyle w:val="3"/>
        <w:spacing w:line="360" w:lineRule="auto"/>
        <w:rPr>
          <w:rFonts w:ascii="宋体" w:hAnsi="宋体" w:eastAsia="宋体"/>
          <w:color w:val="auto"/>
          <w:sz w:val="32"/>
          <w:highlight w:val="none"/>
        </w:rPr>
      </w:pPr>
      <w:r>
        <w:rPr>
          <w:rFonts w:hint="eastAsia" w:ascii="宋体" w:hAnsi="宋体" w:eastAsia="宋体"/>
          <w:color w:val="auto"/>
          <w:sz w:val="32"/>
          <w:highlight w:val="none"/>
        </w:rPr>
        <w:t>四、开标一览表</w:t>
      </w:r>
    </w:p>
    <w:p w14:paraId="1D109CD8">
      <w:pPr>
        <w:spacing w:line="360" w:lineRule="auto"/>
        <w:ind w:firstLine="480"/>
        <w:rPr>
          <w:rFonts w:ascii="宋体" w:hAnsi="宋体"/>
          <w:color w:val="auto"/>
          <w:szCs w:val="21"/>
          <w:highlight w:val="none"/>
        </w:rPr>
      </w:pPr>
      <w:r>
        <w:rPr>
          <w:rFonts w:ascii="宋体" w:hAnsi="宋体"/>
          <w:color w:val="auto"/>
          <w:szCs w:val="21"/>
          <w:highlight w:val="none"/>
        </w:rPr>
        <w:t>投标人全称（加盖公章）：</w:t>
      </w:r>
    </w:p>
    <w:p w14:paraId="23D87E9B">
      <w:pPr>
        <w:spacing w:line="360" w:lineRule="auto"/>
        <w:ind w:firstLine="480"/>
        <w:rPr>
          <w:rFonts w:ascii="宋体" w:hAnsi="宋体"/>
          <w:color w:val="auto"/>
          <w:szCs w:val="21"/>
          <w:highlight w:val="none"/>
        </w:rPr>
      </w:pPr>
      <w:r>
        <w:rPr>
          <w:rFonts w:hint="eastAsia" w:ascii="宋体" w:hAnsi="宋体"/>
          <w:color w:val="auto"/>
          <w:szCs w:val="21"/>
          <w:highlight w:val="none"/>
        </w:rPr>
        <w:t>项目名称：</w:t>
      </w:r>
    </w:p>
    <w:p w14:paraId="318E18F7">
      <w:pPr>
        <w:spacing w:line="360" w:lineRule="auto"/>
        <w:ind w:firstLine="480"/>
        <w:rPr>
          <w:rFonts w:ascii="宋体" w:hAnsi="宋体"/>
          <w:color w:val="auto"/>
          <w:szCs w:val="21"/>
          <w:highlight w:val="none"/>
        </w:rPr>
      </w:pPr>
      <w:r>
        <w:rPr>
          <w:rFonts w:hint="eastAsia" w:ascii="宋体" w:hAnsi="宋体"/>
          <w:color w:val="auto"/>
          <w:szCs w:val="21"/>
          <w:highlight w:val="none"/>
        </w:rPr>
        <w:t>项目编号：</w:t>
      </w:r>
    </w:p>
    <w:p w14:paraId="45270D0B">
      <w:pPr>
        <w:spacing w:line="360" w:lineRule="auto"/>
        <w:ind w:firstLine="480"/>
        <w:rPr>
          <w:rFonts w:ascii="宋体" w:hAnsi="宋体"/>
          <w:color w:val="auto"/>
          <w:szCs w:val="21"/>
          <w:highlight w:val="none"/>
        </w:rPr>
      </w:pPr>
    </w:p>
    <w:tbl>
      <w:tblPr>
        <w:tblStyle w:val="21"/>
        <w:tblW w:w="888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81"/>
        <w:gridCol w:w="6405"/>
      </w:tblGrid>
      <w:tr w14:paraId="594F4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8" w:hRule="atLeast"/>
        </w:trPr>
        <w:tc>
          <w:tcPr>
            <w:tcW w:w="2481" w:type="dxa"/>
            <w:vAlign w:val="center"/>
          </w:tcPr>
          <w:p w14:paraId="7A8A65FE">
            <w:pPr>
              <w:pStyle w:val="8"/>
              <w:adjustRightInd w:val="0"/>
              <w:snapToGrid w:val="0"/>
              <w:spacing w:line="360" w:lineRule="auto"/>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投标货物及服务名称</w:t>
            </w:r>
          </w:p>
        </w:tc>
        <w:tc>
          <w:tcPr>
            <w:tcW w:w="6405" w:type="dxa"/>
            <w:vAlign w:val="center"/>
          </w:tcPr>
          <w:p w14:paraId="13EB575B">
            <w:pPr>
              <w:spacing w:line="360" w:lineRule="auto"/>
              <w:rPr>
                <w:rFonts w:ascii="宋体" w:hAnsi="宋体"/>
                <w:color w:val="auto"/>
                <w:szCs w:val="21"/>
                <w:highlight w:val="none"/>
              </w:rPr>
            </w:pPr>
            <w:r>
              <w:rPr>
                <w:rFonts w:hint="eastAsia" w:ascii="宋体" w:hAnsi="宋体"/>
                <w:color w:val="auto"/>
                <w:szCs w:val="21"/>
                <w:highlight w:val="none"/>
              </w:rPr>
              <w:t>投标总报价（元）</w:t>
            </w:r>
          </w:p>
        </w:tc>
      </w:tr>
      <w:tr w14:paraId="62B95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24" w:hRule="atLeast"/>
        </w:trPr>
        <w:tc>
          <w:tcPr>
            <w:tcW w:w="2481" w:type="dxa"/>
            <w:vAlign w:val="center"/>
          </w:tcPr>
          <w:p w14:paraId="05154CF6">
            <w:pPr>
              <w:pStyle w:val="8"/>
              <w:adjustRightInd w:val="0"/>
              <w:snapToGrid w:val="0"/>
              <w:spacing w:line="360" w:lineRule="auto"/>
              <w:rPr>
                <w:rFonts w:ascii="宋体" w:hAnsi="宋体" w:eastAsia="宋体" w:cs="宋体"/>
                <w:color w:val="auto"/>
                <w:sz w:val="21"/>
                <w:szCs w:val="21"/>
                <w:highlight w:val="none"/>
              </w:rPr>
            </w:pPr>
          </w:p>
        </w:tc>
        <w:tc>
          <w:tcPr>
            <w:tcW w:w="6405" w:type="dxa"/>
            <w:vAlign w:val="center"/>
          </w:tcPr>
          <w:p w14:paraId="25377EF0">
            <w:pPr>
              <w:pStyle w:val="28"/>
              <w:spacing w:before="0" w:after="0"/>
              <w:ind w:firstLine="0"/>
              <w:rPr>
                <w:rFonts w:ascii="宋体" w:hAnsi="宋体" w:cs="宋体"/>
                <w:color w:val="auto"/>
                <w:sz w:val="21"/>
                <w:szCs w:val="21"/>
                <w:highlight w:val="none"/>
              </w:rPr>
            </w:pPr>
          </w:p>
          <w:p w14:paraId="1A71BDD0">
            <w:pPr>
              <w:pStyle w:val="28"/>
              <w:spacing w:before="0" w:after="0"/>
              <w:ind w:firstLine="0"/>
              <w:rPr>
                <w:rFonts w:ascii="宋体" w:hAnsi="宋体" w:cs="宋体"/>
                <w:color w:val="auto"/>
                <w:sz w:val="21"/>
                <w:szCs w:val="21"/>
                <w:highlight w:val="none"/>
              </w:rPr>
            </w:pPr>
            <w:r>
              <w:rPr>
                <w:rFonts w:hint="eastAsia" w:ascii="宋体" w:hAnsi="宋体" w:cs="宋体"/>
                <w:color w:val="auto"/>
                <w:sz w:val="21"/>
                <w:szCs w:val="21"/>
                <w:highlight w:val="none"/>
              </w:rPr>
              <w:t>大写：</w:t>
            </w:r>
          </w:p>
          <w:p w14:paraId="02D4FB36">
            <w:pPr>
              <w:pStyle w:val="28"/>
              <w:spacing w:before="0" w:after="0"/>
              <w:ind w:firstLine="0"/>
              <w:rPr>
                <w:rFonts w:ascii="宋体" w:hAnsi="宋体" w:cs="宋体"/>
                <w:color w:val="auto"/>
                <w:sz w:val="21"/>
                <w:szCs w:val="21"/>
                <w:highlight w:val="none"/>
              </w:rPr>
            </w:pPr>
          </w:p>
          <w:p w14:paraId="18BDD2C2">
            <w:pPr>
              <w:pStyle w:val="28"/>
              <w:spacing w:before="0" w:after="0"/>
              <w:ind w:firstLine="0"/>
              <w:rPr>
                <w:rFonts w:ascii="宋体" w:hAnsi="宋体" w:cs="宋体"/>
                <w:color w:val="auto"/>
                <w:sz w:val="21"/>
                <w:szCs w:val="21"/>
                <w:highlight w:val="none"/>
              </w:rPr>
            </w:pPr>
            <w:r>
              <w:rPr>
                <w:rFonts w:hint="eastAsia" w:ascii="宋体" w:hAnsi="宋体" w:cs="宋体"/>
                <w:color w:val="auto"/>
                <w:sz w:val="21"/>
                <w:szCs w:val="21"/>
                <w:highlight w:val="none"/>
              </w:rPr>
              <w:t xml:space="preserve">小写：                             </w:t>
            </w:r>
          </w:p>
          <w:p w14:paraId="73426771">
            <w:pPr>
              <w:pStyle w:val="28"/>
              <w:spacing w:before="0" w:after="0"/>
              <w:ind w:firstLine="0"/>
              <w:rPr>
                <w:rFonts w:ascii="宋体" w:hAnsi="宋体" w:cs="宋体"/>
                <w:color w:val="auto"/>
                <w:sz w:val="21"/>
                <w:szCs w:val="21"/>
                <w:highlight w:val="none"/>
              </w:rPr>
            </w:pPr>
          </w:p>
          <w:p w14:paraId="48DE3673">
            <w:pPr>
              <w:pStyle w:val="28"/>
              <w:spacing w:before="0" w:after="0"/>
              <w:ind w:firstLine="0"/>
              <w:rPr>
                <w:rFonts w:ascii="宋体" w:hAnsi="宋体" w:cs="宋体"/>
                <w:color w:val="auto"/>
                <w:sz w:val="21"/>
                <w:szCs w:val="21"/>
                <w:highlight w:val="none"/>
              </w:rPr>
            </w:pPr>
            <w:r>
              <w:rPr>
                <w:rFonts w:hint="eastAsia" w:ascii="宋体" w:hAnsi="宋体" w:cs="宋体"/>
                <w:color w:val="auto"/>
                <w:sz w:val="21"/>
                <w:szCs w:val="21"/>
                <w:highlight w:val="none"/>
              </w:rPr>
              <w:t>（人民币）</w:t>
            </w:r>
          </w:p>
          <w:p w14:paraId="607F2870">
            <w:pPr>
              <w:pStyle w:val="28"/>
              <w:spacing w:before="0" w:after="0"/>
              <w:ind w:firstLine="0"/>
              <w:rPr>
                <w:rFonts w:ascii="宋体" w:hAnsi="宋体" w:cs="宋体"/>
                <w:color w:val="auto"/>
                <w:sz w:val="21"/>
                <w:szCs w:val="21"/>
                <w:highlight w:val="none"/>
              </w:rPr>
            </w:pPr>
          </w:p>
        </w:tc>
      </w:tr>
    </w:tbl>
    <w:p w14:paraId="67152D99">
      <w:pPr>
        <w:spacing w:line="360" w:lineRule="auto"/>
        <w:rPr>
          <w:rFonts w:ascii="宋体" w:hAnsi="宋体"/>
          <w:color w:val="auto"/>
          <w:szCs w:val="21"/>
          <w:highlight w:val="none"/>
        </w:rPr>
      </w:pPr>
    </w:p>
    <w:p w14:paraId="6949E712">
      <w:pPr>
        <w:spacing w:line="360" w:lineRule="auto"/>
        <w:ind w:firstLine="480"/>
        <w:rPr>
          <w:rFonts w:ascii="宋体" w:hAnsi="宋体"/>
          <w:color w:val="auto"/>
          <w:szCs w:val="21"/>
          <w:highlight w:val="none"/>
        </w:rPr>
      </w:pPr>
      <w:r>
        <w:rPr>
          <w:rFonts w:hint="eastAsia" w:ascii="宋体" w:hAnsi="宋体"/>
          <w:color w:val="auto"/>
          <w:szCs w:val="21"/>
          <w:highlight w:val="none"/>
        </w:rPr>
        <w:t xml:space="preserve">                                              日期：  年月日</w:t>
      </w:r>
    </w:p>
    <w:p w14:paraId="3FB31E31">
      <w:pPr>
        <w:pStyle w:val="9"/>
        <w:rPr>
          <w:rFonts w:ascii="宋体" w:hAnsi="宋体"/>
          <w:color w:val="auto"/>
          <w:szCs w:val="21"/>
          <w:highlight w:val="none"/>
        </w:rPr>
      </w:pPr>
    </w:p>
    <w:p w14:paraId="57EEDB27">
      <w:pPr>
        <w:pBdr>
          <w:top w:val="none" w:color="000000" w:sz="0" w:space="0"/>
          <w:left w:val="none" w:color="000000" w:sz="0" w:space="0"/>
          <w:bottom w:val="none" w:color="000000" w:sz="0" w:space="0"/>
          <w:right w:val="none" w:color="000000" w:sz="0" w:space="0"/>
        </w:pBdr>
        <w:ind w:firstLine="640"/>
        <w:rPr>
          <w:rFonts w:ascii="宋体" w:hAnsi="宋体"/>
          <w:color w:val="auto"/>
          <w:highlight w:val="none"/>
        </w:rPr>
      </w:pPr>
      <w:r>
        <w:rPr>
          <w:rFonts w:ascii="宋体" w:hAnsi="宋体" w:cs="宋体"/>
          <w:color w:val="auto"/>
          <w:sz w:val="32"/>
          <w:highlight w:val="none"/>
        </w:rPr>
        <w:t> </w:t>
      </w:r>
    </w:p>
    <w:p w14:paraId="43CA5A7A">
      <w:pPr>
        <w:spacing w:line="360" w:lineRule="auto"/>
        <w:ind w:firstLine="480"/>
        <w:rPr>
          <w:rFonts w:ascii="宋体" w:hAnsi="宋体"/>
          <w:color w:val="auto"/>
          <w:szCs w:val="21"/>
          <w:highlight w:val="none"/>
        </w:rPr>
      </w:pPr>
      <w:r>
        <w:rPr>
          <w:rFonts w:ascii="宋体" w:hAnsi="宋体"/>
          <w:color w:val="auto"/>
          <w:szCs w:val="21"/>
          <w:highlight w:val="none"/>
        </w:rPr>
        <w:t>填写说明：</w:t>
      </w:r>
    </w:p>
    <w:p w14:paraId="5B6E699C">
      <w:pPr>
        <w:spacing w:line="360" w:lineRule="auto"/>
        <w:ind w:firstLine="420" w:firstLineChars="200"/>
        <w:rPr>
          <w:rFonts w:ascii="宋体" w:hAnsi="宋体"/>
          <w:bCs/>
          <w:color w:val="auto"/>
          <w:szCs w:val="21"/>
          <w:highlight w:val="none"/>
        </w:rPr>
      </w:pPr>
      <w:r>
        <w:rPr>
          <w:rFonts w:hint="eastAsia" w:ascii="宋体" w:hAnsi="宋体"/>
          <w:i/>
          <w:color w:val="auto"/>
          <w:szCs w:val="21"/>
          <w:highlight w:val="none"/>
        </w:rPr>
        <w:t>1、</w:t>
      </w:r>
      <w:r>
        <w:rPr>
          <w:rFonts w:hint="eastAsia" w:ascii="宋体" w:hAnsi="宋体"/>
          <w:bCs/>
          <w:i/>
          <w:iCs/>
          <w:color w:val="auto"/>
          <w:szCs w:val="21"/>
          <w:highlight w:val="none"/>
          <w:u w:val="single"/>
        </w:rPr>
        <w:t>开标一览表必须加盖投标人公章（复印件无效）</w:t>
      </w:r>
      <w:r>
        <w:rPr>
          <w:rFonts w:hint="eastAsia" w:ascii="宋体" w:hAnsi="宋体"/>
          <w:i/>
          <w:color w:val="auto"/>
          <w:szCs w:val="21"/>
          <w:highlight w:val="none"/>
        </w:rPr>
        <w:t>。</w:t>
      </w:r>
    </w:p>
    <w:p w14:paraId="69EED230">
      <w:pPr>
        <w:ind w:firstLine="420"/>
        <w:rPr>
          <w:rFonts w:ascii="宋体" w:hAnsi="宋体"/>
          <w:color w:val="auto"/>
          <w:szCs w:val="21"/>
          <w:highlight w:val="none"/>
        </w:rPr>
      </w:pPr>
      <w:r>
        <w:rPr>
          <w:rFonts w:hint="eastAsia" w:ascii="宋体" w:hAnsi="宋体"/>
          <w:color w:val="auto"/>
          <w:szCs w:val="21"/>
          <w:highlight w:val="none"/>
        </w:rPr>
        <w:t>2、如有分包，投标人投任何一个包的标的，都需单独填写开标一览表。</w:t>
      </w:r>
    </w:p>
    <w:p w14:paraId="5B6135B8">
      <w:pPr>
        <w:pBdr>
          <w:top w:val="none" w:color="000000" w:sz="0" w:space="0"/>
          <w:left w:val="none" w:color="000000" w:sz="0" w:space="0"/>
          <w:bottom w:val="none" w:color="000000" w:sz="0" w:space="0"/>
          <w:right w:val="none" w:color="000000" w:sz="0" w:space="0"/>
        </w:pBdr>
        <w:spacing w:line="440" w:lineRule="exact"/>
        <w:ind w:firstLine="420" w:firstLineChars="200"/>
        <w:jc w:val="left"/>
        <w:rPr>
          <w:rFonts w:ascii="宋体" w:hAnsi="宋体"/>
          <w:color w:val="auto"/>
          <w:highlight w:val="none"/>
        </w:rPr>
      </w:pPr>
    </w:p>
    <w:p w14:paraId="0153F60C">
      <w:pPr>
        <w:rPr>
          <w:rFonts w:ascii="宋体" w:hAnsi="宋体"/>
          <w:color w:val="auto"/>
          <w:highlight w:val="none"/>
        </w:rPr>
      </w:pPr>
    </w:p>
    <w:p w14:paraId="389F9A87">
      <w:pPr>
        <w:pStyle w:val="6"/>
        <w:spacing w:line="360" w:lineRule="auto"/>
        <w:ind w:firstLine="640"/>
        <w:rPr>
          <w:rFonts w:ascii="宋体" w:hAnsi="宋体"/>
          <w:color w:val="auto"/>
          <w:sz w:val="32"/>
          <w:szCs w:val="32"/>
          <w:highlight w:val="none"/>
        </w:rPr>
      </w:pPr>
    </w:p>
    <w:p w14:paraId="7DFBA81F">
      <w:pPr>
        <w:pStyle w:val="6"/>
        <w:spacing w:line="360" w:lineRule="auto"/>
        <w:ind w:firstLine="640"/>
        <w:rPr>
          <w:rFonts w:ascii="宋体" w:hAnsi="宋体"/>
          <w:color w:val="auto"/>
          <w:sz w:val="32"/>
          <w:szCs w:val="32"/>
          <w:highlight w:val="none"/>
        </w:rPr>
      </w:pPr>
    </w:p>
    <w:p w14:paraId="0B327DA5">
      <w:pPr>
        <w:spacing w:line="360" w:lineRule="auto"/>
        <w:rPr>
          <w:rFonts w:ascii="宋体" w:hAnsi="宋体"/>
          <w:color w:val="auto"/>
          <w:sz w:val="32"/>
          <w:szCs w:val="32"/>
          <w:highlight w:val="none"/>
        </w:rPr>
      </w:pPr>
      <w:r>
        <w:rPr>
          <w:rFonts w:hint="eastAsia" w:ascii="宋体" w:hAnsi="宋体"/>
          <w:color w:val="auto"/>
          <w:sz w:val="32"/>
          <w:szCs w:val="32"/>
          <w:highlight w:val="none"/>
        </w:rPr>
        <w:br w:type="page"/>
      </w:r>
    </w:p>
    <w:p w14:paraId="39C07EA7">
      <w:pPr>
        <w:pStyle w:val="3"/>
        <w:pBdr>
          <w:top w:val="none" w:color="000000" w:sz="0" w:space="0"/>
          <w:left w:val="none" w:color="000000" w:sz="0" w:space="0"/>
          <w:bottom w:val="none" w:color="000000" w:sz="0" w:space="0"/>
          <w:right w:val="none" w:color="000000" w:sz="0" w:space="0"/>
        </w:pBdr>
        <w:spacing w:line="761" w:lineRule="atLeast"/>
        <w:rPr>
          <w:rFonts w:ascii="宋体" w:hAnsi="宋体" w:eastAsia="宋体"/>
          <w:color w:val="auto"/>
          <w:sz w:val="32"/>
          <w:highlight w:val="none"/>
        </w:rPr>
      </w:pPr>
      <w:r>
        <w:rPr>
          <w:rFonts w:hint="eastAsia" w:ascii="宋体" w:hAnsi="宋体" w:eastAsia="宋体"/>
          <w:color w:val="auto"/>
          <w:sz w:val="32"/>
          <w:highlight w:val="none"/>
        </w:rPr>
        <w:t>五、投标产品配置及分项报价表</w:t>
      </w:r>
    </w:p>
    <w:p w14:paraId="0F4E62BE">
      <w:pPr>
        <w:spacing w:line="360" w:lineRule="auto"/>
        <w:ind w:firstLine="480"/>
        <w:rPr>
          <w:rFonts w:ascii="宋体" w:hAnsi="宋体"/>
          <w:color w:val="auto"/>
          <w:szCs w:val="21"/>
          <w:highlight w:val="none"/>
        </w:rPr>
      </w:pPr>
      <w:r>
        <w:rPr>
          <w:rFonts w:ascii="宋体" w:hAnsi="宋体"/>
          <w:color w:val="auto"/>
          <w:szCs w:val="21"/>
          <w:highlight w:val="none"/>
        </w:rPr>
        <w:t>投标人全称（加盖公章）：</w:t>
      </w:r>
    </w:p>
    <w:p w14:paraId="4539D7C2">
      <w:pPr>
        <w:spacing w:line="360" w:lineRule="auto"/>
        <w:ind w:firstLine="480"/>
        <w:rPr>
          <w:rFonts w:ascii="宋体" w:hAnsi="宋体"/>
          <w:color w:val="auto"/>
          <w:szCs w:val="21"/>
          <w:highlight w:val="none"/>
        </w:rPr>
      </w:pPr>
      <w:r>
        <w:rPr>
          <w:rFonts w:hint="eastAsia" w:ascii="宋体" w:hAnsi="宋体"/>
          <w:color w:val="auto"/>
          <w:szCs w:val="21"/>
          <w:highlight w:val="none"/>
        </w:rPr>
        <w:t>项目名称：</w:t>
      </w:r>
    </w:p>
    <w:p w14:paraId="4F185B73">
      <w:pPr>
        <w:spacing w:line="360" w:lineRule="auto"/>
        <w:ind w:firstLine="480"/>
        <w:rPr>
          <w:rFonts w:ascii="宋体" w:hAnsi="宋体"/>
          <w:color w:val="auto"/>
          <w:szCs w:val="21"/>
          <w:highlight w:val="none"/>
        </w:rPr>
      </w:pPr>
      <w:r>
        <w:rPr>
          <w:rFonts w:hint="eastAsia" w:ascii="宋体" w:hAnsi="宋体"/>
          <w:color w:val="auto"/>
          <w:szCs w:val="21"/>
          <w:highlight w:val="none"/>
        </w:rPr>
        <w:t>项目编号：</w:t>
      </w:r>
    </w:p>
    <w:tbl>
      <w:tblPr>
        <w:tblStyle w:val="21"/>
        <w:tblW w:w="88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70"/>
        <w:gridCol w:w="1383"/>
        <w:gridCol w:w="810"/>
        <w:gridCol w:w="1335"/>
        <w:gridCol w:w="956"/>
        <w:gridCol w:w="1620"/>
      </w:tblGrid>
      <w:tr w14:paraId="06AC6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2770" w:type="dxa"/>
            <w:vAlign w:val="center"/>
          </w:tcPr>
          <w:p w14:paraId="68B927B4">
            <w:pPr>
              <w:spacing w:line="360" w:lineRule="auto"/>
              <w:jc w:val="center"/>
              <w:rPr>
                <w:rFonts w:ascii="宋体" w:hAnsi="宋体"/>
                <w:color w:val="auto"/>
                <w:szCs w:val="21"/>
                <w:highlight w:val="none"/>
              </w:rPr>
            </w:pPr>
            <w:r>
              <w:rPr>
                <w:rFonts w:hint="eastAsia" w:ascii="宋体" w:hAnsi="宋体"/>
                <w:color w:val="auto"/>
                <w:szCs w:val="21"/>
                <w:highlight w:val="none"/>
              </w:rPr>
              <w:t>1</w:t>
            </w:r>
          </w:p>
        </w:tc>
        <w:tc>
          <w:tcPr>
            <w:tcW w:w="1383" w:type="dxa"/>
            <w:vAlign w:val="center"/>
          </w:tcPr>
          <w:p w14:paraId="2CCA4BC2">
            <w:pPr>
              <w:spacing w:line="360" w:lineRule="auto"/>
              <w:jc w:val="center"/>
              <w:rPr>
                <w:rFonts w:ascii="宋体" w:hAnsi="宋体"/>
                <w:color w:val="auto"/>
                <w:szCs w:val="21"/>
                <w:highlight w:val="none"/>
              </w:rPr>
            </w:pPr>
            <w:r>
              <w:rPr>
                <w:rFonts w:hint="eastAsia" w:ascii="宋体" w:hAnsi="宋体"/>
                <w:color w:val="auto"/>
                <w:szCs w:val="21"/>
                <w:highlight w:val="none"/>
              </w:rPr>
              <w:t>2</w:t>
            </w:r>
          </w:p>
        </w:tc>
        <w:tc>
          <w:tcPr>
            <w:tcW w:w="810" w:type="dxa"/>
            <w:vAlign w:val="center"/>
          </w:tcPr>
          <w:p w14:paraId="00CFE508">
            <w:pPr>
              <w:spacing w:line="360" w:lineRule="auto"/>
              <w:jc w:val="center"/>
              <w:rPr>
                <w:rFonts w:ascii="宋体" w:hAnsi="宋体"/>
                <w:color w:val="auto"/>
                <w:szCs w:val="21"/>
                <w:highlight w:val="none"/>
              </w:rPr>
            </w:pPr>
            <w:r>
              <w:rPr>
                <w:rFonts w:hint="eastAsia" w:ascii="宋体" w:hAnsi="宋体"/>
                <w:color w:val="auto"/>
                <w:szCs w:val="21"/>
                <w:highlight w:val="none"/>
              </w:rPr>
              <w:t>3</w:t>
            </w:r>
          </w:p>
        </w:tc>
        <w:tc>
          <w:tcPr>
            <w:tcW w:w="1335" w:type="dxa"/>
            <w:vAlign w:val="center"/>
          </w:tcPr>
          <w:p w14:paraId="28E6EDD9">
            <w:pPr>
              <w:spacing w:line="360" w:lineRule="auto"/>
              <w:jc w:val="center"/>
              <w:rPr>
                <w:rFonts w:ascii="宋体" w:hAnsi="宋体"/>
                <w:color w:val="auto"/>
                <w:szCs w:val="21"/>
                <w:highlight w:val="none"/>
              </w:rPr>
            </w:pPr>
            <w:r>
              <w:rPr>
                <w:rFonts w:hint="eastAsia" w:ascii="宋体" w:hAnsi="宋体"/>
                <w:color w:val="auto"/>
                <w:szCs w:val="21"/>
                <w:highlight w:val="none"/>
              </w:rPr>
              <w:t>4</w:t>
            </w:r>
          </w:p>
        </w:tc>
        <w:tc>
          <w:tcPr>
            <w:tcW w:w="956" w:type="dxa"/>
            <w:vAlign w:val="center"/>
          </w:tcPr>
          <w:p w14:paraId="47D45814">
            <w:pPr>
              <w:spacing w:line="360" w:lineRule="auto"/>
              <w:jc w:val="center"/>
              <w:rPr>
                <w:rFonts w:ascii="宋体" w:hAnsi="宋体"/>
                <w:color w:val="auto"/>
                <w:szCs w:val="21"/>
                <w:highlight w:val="none"/>
              </w:rPr>
            </w:pPr>
            <w:r>
              <w:rPr>
                <w:rFonts w:hint="eastAsia" w:ascii="宋体" w:hAnsi="宋体"/>
                <w:color w:val="auto"/>
                <w:szCs w:val="21"/>
                <w:highlight w:val="none"/>
              </w:rPr>
              <w:t>5</w:t>
            </w:r>
          </w:p>
        </w:tc>
        <w:tc>
          <w:tcPr>
            <w:tcW w:w="1620" w:type="dxa"/>
            <w:vAlign w:val="center"/>
          </w:tcPr>
          <w:p w14:paraId="45CC6FA5">
            <w:pPr>
              <w:spacing w:line="360" w:lineRule="auto"/>
              <w:jc w:val="center"/>
              <w:rPr>
                <w:rFonts w:ascii="宋体" w:hAnsi="宋体"/>
                <w:color w:val="auto"/>
                <w:szCs w:val="21"/>
                <w:highlight w:val="none"/>
              </w:rPr>
            </w:pPr>
            <w:r>
              <w:rPr>
                <w:rFonts w:hint="eastAsia" w:ascii="宋体" w:hAnsi="宋体"/>
                <w:color w:val="auto"/>
                <w:szCs w:val="21"/>
                <w:highlight w:val="none"/>
              </w:rPr>
              <w:t>6</w:t>
            </w:r>
          </w:p>
        </w:tc>
      </w:tr>
      <w:tr w14:paraId="11AF1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4" w:hRule="atLeast"/>
        </w:trPr>
        <w:tc>
          <w:tcPr>
            <w:tcW w:w="2770" w:type="dxa"/>
            <w:vAlign w:val="center"/>
          </w:tcPr>
          <w:p w14:paraId="111457ED">
            <w:pPr>
              <w:spacing w:line="360" w:lineRule="auto"/>
              <w:jc w:val="center"/>
              <w:rPr>
                <w:rFonts w:ascii="宋体" w:hAnsi="宋体"/>
                <w:color w:val="auto"/>
                <w:szCs w:val="21"/>
                <w:highlight w:val="none"/>
              </w:rPr>
            </w:pPr>
            <w:r>
              <w:rPr>
                <w:rFonts w:hint="eastAsia" w:ascii="宋体" w:hAnsi="宋体"/>
                <w:color w:val="auto"/>
                <w:szCs w:val="21"/>
                <w:highlight w:val="none"/>
              </w:rPr>
              <w:t>产品名称及规格、型号</w:t>
            </w:r>
          </w:p>
        </w:tc>
        <w:tc>
          <w:tcPr>
            <w:tcW w:w="1383" w:type="dxa"/>
            <w:vAlign w:val="center"/>
          </w:tcPr>
          <w:p w14:paraId="6E133AF0">
            <w:pPr>
              <w:spacing w:line="360" w:lineRule="auto"/>
              <w:jc w:val="center"/>
              <w:rPr>
                <w:rFonts w:ascii="宋体" w:hAnsi="宋体"/>
                <w:color w:val="auto"/>
                <w:szCs w:val="21"/>
                <w:highlight w:val="none"/>
              </w:rPr>
            </w:pPr>
            <w:r>
              <w:rPr>
                <w:rFonts w:hint="eastAsia" w:ascii="宋体" w:hAnsi="宋体"/>
                <w:color w:val="auto"/>
                <w:szCs w:val="21"/>
                <w:highlight w:val="none"/>
              </w:rPr>
              <w:t>数量</w:t>
            </w:r>
          </w:p>
        </w:tc>
        <w:tc>
          <w:tcPr>
            <w:tcW w:w="810" w:type="dxa"/>
            <w:vAlign w:val="center"/>
          </w:tcPr>
          <w:p w14:paraId="6D5D6E0D">
            <w:pPr>
              <w:spacing w:line="360" w:lineRule="auto"/>
              <w:jc w:val="center"/>
              <w:rPr>
                <w:rFonts w:ascii="宋体" w:hAnsi="宋体"/>
                <w:color w:val="auto"/>
                <w:szCs w:val="21"/>
                <w:highlight w:val="none"/>
              </w:rPr>
            </w:pPr>
            <w:r>
              <w:rPr>
                <w:rFonts w:hint="eastAsia" w:ascii="宋体" w:hAnsi="宋体"/>
                <w:color w:val="auto"/>
                <w:szCs w:val="21"/>
                <w:highlight w:val="none"/>
              </w:rPr>
              <w:t>产地</w:t>
            </w:r>
          </w:p>
        </w:tc>
        <w:tc>
          <w:tcPr>
            <w:tcW w:w="1335" w:type="dxa"/>
            <w:vAlign w:val="center"/>
          </w:tcPr>
          <w:p w14:paraId="12F2B09A">
            <w:pPr>
              <w:spacing w:line="360" w:lineRule="auto"/>
              <w:jc w:val="center"/>
              <w:rPr>
                <w:rFonts w:ascii="宋体" w:hAnsi="宋体"/>
                <w:color w:val="auto"/>
                <w:szCs w:val="21"/>
                <w:highlight w:val="none"/>
              </w:rPr>
            </w:pPr>
            <w:r>
              <w:rPr>
                <w:rFonts w:hint="eastAsia" w:ascii="宋体" w:hAnsi="宋体"/>
                <w:color w:val="auto"/>
                <w:szCs w:val="21"/>
                <w:highlight w:val="none"/>
              </w:rPr>
              <w:t>交付期</w:t>
            </w:r>
          </w:p>
        </w:tc>
        <w:tc>
          <w:tcPr>
            <w:tcW w:w="956" w:type="dxa"/>
            <w:vAlign w:val="center"/>
          </w:tcPr>
          <w:p w14:paraId="000D2E14">
            <w:pPr>
              <w:spacing w:line="360" w:lineRule="auto"/>
              <w:jc w:val="center"/>
              <w:rPr>
                <w:rFonts w:ascii="宋体" w:hAnsi="宋体"/>
                <w:color w:val="auto"/>
                <w:szCs w:val="21"/>
                <w:highlight w:val="none"/>
              </w:rPr>
            </w:pPr>
            <w:r>
              <w:rPr>
                <w:rFonts w:hint="eastAsia" w:ascii="宋体" w:hAnsi="宋体"/>
                <w:color w:val="auto"/>
                <w:szCs w:val="21"/>
                <w:highlight w:val="none"/>
              </w:rPr>
              <w:t>单价</w:t>
            </w:r>
          </w:p>
        </w:tc>
        <w:tc>
          <w:tcPr>
            <w:tcW w:w="1620" w:type="dxa"/>
            <w:vAlign w:val="center"/>
          </w:tcPr>
          <w:p w14:paraId="28A103DE">
            <w:pPr>
              <w:spacing w:line="360" w:lineRule="auto"/>
              <w:jc w:val="center"/>
              <w:rPr>
                <w:rFonts w:ascii="宋体" w:hAnsi="宋体"/>
                <w:color w:val="auto"/>
                <w:szCs w:val="21"/>
                <w:highlight w:val="none"/>
              </w:rPr>
            </w:pPr>
            <w:r>
              <w:rPr>
                <w:rFonts w:hint="eastAsia" w:ascii="宋体" w:hAnsi="宋体"/>
                <w:color w:val="auto"/>
                <w:szCs w:val="21"/>
                <w:highlight w:val="none"/>
              </w:rPr>
              <w:t>总价</w:t>
            </w:r>
          </w:p>
        </w:tc>
      </w:tr>
      <w:tr w14:paraId="73DA7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4" w:hRule="atLeast"/>
        </w:trPr>
        <w:tc>
          <w:tcPr>
            <w:tcW w:w="2770" w:type="dxa"/>
            <w:vAlign w:val="center"/>
          </w:tcPr>
          <w:p w14:paraId="6EFAB71B">
            <w:pPr>
              <w:spacing w:line="360" w:lineRule="auto"/>
              <w:rPr>
                <w:rFonts w:ascii="宋体" w:hAnsi="宋体"/>
                <w:color w:val="auto"/>
                <w:szCs w:val="21"/>
                <w:highlight w:val="none"/>
              </w:rPr>
            </w:pPr>
          </w:p>
        </w:tc>
        <w:tc>
          <w:tcPr>
            <w:tcW w:w="1383" w:type="dxa"/>
            <w:vAlign w:val="center"/>
          </w:tcPr>
          <w:p w14:paraId="39253B98">
            <w:pPr>
              <w:spacing w:line="360" w:lineRule="auto"/>
              <w:rPr>
                <w:rFonts w:ascii="宋体" w:hAnsi="宋体"/>
                <w:color w:val="auto"/>
                <w:szCs w:val="21"/>
                <w:highlight w:val="none"/>
              </w:rPr>
            </w:pPr>
          </w:p>
        </w:tc>
        <w:tc>
          <w:tcPr>
            <w:tcW w:w="810" w:type="dxa"/>
            <w:vAlign w:val="center"/>
          </w:tcPr>
          <w:p w14:paraId="5BBC00B2">
            <w:pPr>
              <w:spacing w:line="360" w:lineRule="auto"/>
              <w:rPr>
                <w:rFonts w:ascii="宋体" w:hAnsi="宋体"/>
                <w:color w:val="auto"/>
                <w:szCs w:val="21"/>
                <w:highlight w:val="none"/>
              </w:rPr>
            </w:pPr>
          </w:p>
        </w:tc>
        <w:tc>
          <w:tcPr>
            <w:tcW w:w="1335" w:type="dxa"/>
            <w:vAlign w:val="center"/>
          </w:tcPr>
          <w:p w14:paraId="3C41032D">
            <w:pPr>
              <w:spacing w:line="360" w:lineRule="auto"/>
              <w:rPr>
                <w:rFonts w:ascii="宋体" w:hAnsi="宋体"/>
                <w:color w:val="auto"/>
                <w:szCs w:val="21"/>
                <w:highlight w:val="none"/>
              </w:rPr>
            </w:pPr>
          </w:p>
        </w:tc>
        <w:tc>
          <w:tcPr>
            <w:tcW w:w="956" w:type="dxa"/>
            <w:vAlign w:val="center"/>
          </w:tcPr>
          <w:p w14:paraId="35FB3EAC">
            <w:pPr>
              <w:spacing w:line="360" w:lineRule="auto"/>
              <w:rPr>
                <w:rFonts w:ascii="宋体" w:hAnsi="宋体"/>
                <w:color w:val="auto"/>
                <w:szCs w:val="21"/>
                <w:highlight w:val="none"/>
              </w:rPr>
            </w:pPr>
          </w:p>
        </w:tc>
        <w:tc>
          <w:tcPr>
            <w:tcW w:w="1620" w:type="dxa"/>
            <w:vAlign w:val="center"/>
          </w:tcPr>
          <w:p w14:paraId="4603197E">
            <w:pPr>
              <w:spacing w:line="360" w:lineRule="auto"/>
              <w:rPr>
                <w:rFonts w:ascii="宋体" w:hAnsi="宋体"/>
                <w:color w:val="auto"/>
                <w:szCs w:val="21"/>
                <w:highlight w:val="none"/>
              </w:rPr>
            </w:pPr>
          </w:p>
        </w:tc>
      </w:tr>
      <w:tr w14:paraId="48AC1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4" w:hRule="atLeast"/>
        </w:trPr>
        <w:tc>
          <w:tcPr>
            <w:tcW w:w="2770" w:type="dxa"/>
            <w:vAlign w:val="center"/>
          </w:tcPr>
          <w:p w14:paraId="581BDF23">
            <w:pPr>
              <w:spacing w:line="360" w:lineRule="auto"/>
              <w:rPr>
                <w:rFonts w:ascii="宋体" w:hAnsi="宋体"/>
                <w:color w:val="auto"/>
                <w:szCs w:val="21"/>
                <w:highlight w:val="none"/>
              </w:rPr>
            </w:pPr>
          </w:p>
        </w:tc>
        <w:tc>
          <w:tcPr>
            <w:tcW w:w="1383" w:type="dxa"/>
            <w:vAlign w:val="center"/>
          </w:tcPr>
          <w:p w14:paraId="0A060D66">
            <w:pPr>
              <w:spacing w:line="360" w:lineRule="auto"/>
              <w:rPr>
                <w:rFonts w:ascii="宋体" w:hAnsi="宋体"/>
                <w:color w:val="auto"/>
                <w:szCs w:val="21"/>
                <w:highlight w:val="none"/>
              </w:rPr>
            </w:pPr>
          </w:p>
        </w:tc>
        <w:tc>
          <w:tcPr>
            <w:tcW w:w="810" w:type="dxa"/>
            <w:vAlign w:val="center"/>
          </w:tcPr>
          <w:p w14:paraId="1FD6BACE">
            <w:pPr>
              <w:spacing w:line="360" w:lineRule="auto"/>
              <w:rPr>
                <w:rFonts w:ascii="宋体" w:hAnsi="宋体"/>
                <w:color w:val="auto"/>
                <w:szCs w:val="21"/>
                <w:highlight w:val="none"/>
              </w:rPr>
            </w:pPr>
          </w:p>
        </w:tc>
        <w:tc>
          <w:tcPr>
            <w:tcW w:w="1335" w:type="dxa"/>
            <w:vAlign w:val="center"/>
          </w:tcPr>
          <w:p w14:paraId="7FFAB8F8">
            <w:pPr>
              <w:spacing w:line="360" w:lineRule="auto"/>
              <w:rPr>
                <w:rFonts w:ascii="宋体" w:hAnsi="宋体"/>
                <w:color w:val="auto"/>
                <w:szCs w:val="21"/>
                <w:highlight w:val="none"/>
              </w:rPr>
            </w:pPr>
          </w:p>
        </w:tc>
        <w:tc>
          <w:tcPr>
            <w:tcW w:w="956" w:type="dxa"/>
            <w:vAlign w:val="center"/>
          </w:tcPr>
          <w:p w14:paraId="112F6432">
            <w:pPr>
              <w:spacing w:line="360" w:lineRule="auto"/>
              <w:rPr>
                <w:rFonts w:ascii="宋体" w:hAnsi="宋体"/>
                <w:color w:val="auto"/>
                <w:szCs w:val="21"/>
                <w:highlight w:val="none"/>
              </w:rPr>
            </w:pPr>
          </w:p>
        </w:tc>
        <w:tc>
          <w:tcPr>
            <w:tcW w:w="1620" w:type="dxa"/>
            <w:vAlign w:val="center"/>
          </w:tcPr>
          <w:p w14:paraId="257F71DD">
            <w:pPr>
              <w:spacing w:line="360" w:lineRule="auto"/>
              <w:rPr>
                <w:rFonts w:ascii="宋体" w:hAnsi="宋体"/>
                <w:color w:val="auto"/>
                <w:szCs w:val="21"/>
                <w:highlight w:val="none"/>
              </w:rPr>
            </w:pPr>
          </w:p>
        </w:tc>
      </w:tr>
      <w:tr w14:paraId="45C210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4" w:hRule="atLeast"/>
        </w:trPr>
        <w:tc>
          <w:tcPr>
            <w:tcW w:w="2770" w:type="dxa"/>
            <w:vAlign w:val="center"/>
          </w:tcPr>
          <w:p w14:paraId="2C0D99A0">
            <w:pPr>
              <w:spacing w:line="360" w:lineRule="auto"/>
              <w:rPr>
                <w:rFonts w:ascii="宋体" w:hAnsi="宋体"/>
                <w:color w:val="auto"/>
                <w:szCs w:val="21"/>
                <w:highlight w:val="none"/>
              </w:rPr>
            </w:pPr>
          </w:p>
        </w:tc>
        <w:tc>
          <w:tcPr>
            <w:tcW w:w="1383" w:type="dxa"/>
            <w:vAlign w:val="center"/>
          </w:tcPr>
          <w:p w14:paraId="41E8FCF6">
            <w:pPr>
              <w:spacing w:line="360" w:lineRule="auto"/>
              <w:rPr>
                <w:rFonts w:ascii="宋体" w:hAnsi="宋体"/>
                <w:color w:val="auto"/>
                <w:szCs w:val="21"/>
                <w:highlight w:val="none"/>
              </w:rPr>
            </w:pPr>
          </w:p>
        </w:tc>
        <w:tc>
          <w:tcPr>
            <w:tcW w:w="810" w:type="dxa"/>
            <w:vAlign w:val="center"/>
          </w:tcPr>
          <w:p w14:paraId="3410EBA4">
            <w:pPr>
              <w:spacing w:line="360" w:lineRule="auto"/>
              <w:rPr>
                <w:rFonts w:ascii="宋体" w:hAnsi="宋体"/>
                <w:color w:val="auto"/>
                <w:szCs w:val="21"/>
                <w:highlight w:val="none"/>
              </w:rPr>
            </w:pPr>
          </w:p>
        </w:tc>
        <w:tc>
          <w:tcPr>
            <w:tcW w:w="1335" w:type="dxa"/>
            <w:vAlign w:val="center"/>
          </w:tcPr>
          <w:p w14:paraId="6453378E">
            <w:pPr>
              <w:spacing w:line="360" w:lineRule="auto"/>
              <w:rPr>
                <w:rFonts w:ascii="宋体" w:hAnsi="宋体"/>
                <w:color w:val="auto"/>
                <w:szCs w:val="21"/>
                <w:highlight w:val="none"/>
              </w:rPr>
            </w:pPr>
          </w:p>
        </w:tc>
        <w:tc>
          <w:tcPr>
            <w:tcW w:w="956" w:type="dxa"/>
            <w:vAlign w:val="center"/>
          </w:tcPr>
          <w:p w14:paraId="2C54BAA9">
            <w:pPr>
              <w:spacing w:line="360" w:lineRule="auto"/>
              <w:rPr>
                <w:rFonts w:ascii="宋体" w:hAnsi="宋体"/>
                <w:color w:val="auto"/>
                <w:szCs w:val="21"/>
                <w:highlight w:val="none"/>
              </w:rPr>
            </w:pPr>
          </w:p>
        </w:tc>
        <w:tc>
          <w:tcPr>
            <w:tcW w:w="1620" w:type="dxa"/>
            <w:vAlign w:val="center"/>
          </w:tcPr>
          <w:p w14:paraId="649C125F">
            <w:pPr>
              <w:spacing w:line="360" w:lineRule="auto"/>
              <w:rPr>
                <w:rFonts w:ascii="宋体" w:hAnsi="宋体"/>
                <w:color w:val="auto"/>
                <w:szCs w:val="21"/>
                <w:highlight w:val="none"/>
              </w:rPr>
            </w:pPr>
          </w:p>
        </w:tc>
      </w:tr>
      <w:tr w14:paraId="797CA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0" w:hRule="atLeast"/>
        </w:trPr>
        <w:tc>
          <w:tcPr>
            <w:tcW w:w="2770" w:type="dxa"/>
            <w:vAlign w:val="center"/>
          </w:tcPr>
          <w:p w14:paraId="267A7845">
            <w:pPr>
              <w:spacing w:line="360" w:lineRule="auto"/>
              <w:rPr>
                <w:rFonts w:ascii="宋体" w:hAnsi="宋体"/>
                <w:color w:val="auto"/>
                <w:szCs w:val="21"/>
                <w:highlight w:val="none"/>
              </w:rPr>
            </w:pPr>
          </w:p>
        </w:tc>
        <w:tc>
          <w:tcPr>
            <w:tcW w:w="1383" w:type="dxa"/>
            <w:vAlign w:val="center"/>
          </w:tcPr>
          <w:p w14:paraId="08BF8A7E">
            <w:pPr>
              <w:spacing w:line="360" w:lineRule="auto"/>
              <w:rPr>
                <w:rFonts w:ascii="宋体" w:hAnsi="宋体"/>
                <w:color w:val="auto"/>
                <w:szCs w:val="21"/>
                <w:highlight w:val="none"/>
              </w:rPr>
            </w:pPr>
          </w:p>
        </w:tc>
        <w:tc>
          <w:tcPr>
            <w:tcW w:w="810" w:type="dxa"/>
            <w:vAlign w:val="center"/>
          </w:tcPr>
          <w:p w14:paraId="043E13D8">
            <w:pPr>
              <w:spacing w:line="360" w:lineRule="auto"/>
              <w:rPr>
                <w:rFonts w:ascii="宋体" w:hAnsi="宋体"/>
                <w:color w:val="auto"/>
                <w:szCs w:val="21"/>
                <w:highlight w:val="none"/>
              </w:rPr>
            </w:pPr>
          </w:p>
        </w:tc>
        <w:tc>
          <w:tcPr>
            <w:tcW w:w="1335" w:type="dxa"/>
            <w:vAlign w:val="center"/>
          </w:tcPr>
          <w:p w14:paraId="12CB7E1C">
            <w:pPr>
              <w:spacing w:line="360" w:lineRule="auto"/>
              <w:rPr>
                <w:rFonts w:ascii="宋体" w:hAnsi="宋体"/>
                <w:color w:val="auto"/>
                <w:szCs w:val="21"/>
                <w:highlight w:val="none"/>
              </w:rPr>
            </w:pPr>
          </w:p>
        </w:tc>
        <w:tc>
          <w:tcPr>
            <w:tcW w:w="956" w:type="dxa"/>
            <w:vAlign w:val="center"/>
          </w:tcPr>
          <w:p w14:paraId="40BC7F29">
            <w:pPr>
              <w:spacing w:line="360" w:lineRule="auto"/>
              <w:rPr>
                <w:rFonts w:ascii="宋体" w:hAnsi="宋体"/>
                <w:color w:val="auto"/>
                <w:szCs w:val="21"/>
                <w:highlight w:val="none"/>
              </w:rPr>
            </w:pPr>
          </w:p>
        </w:tc>
        <w:tc>
          <w:tcPr>
            <w:tcW w:w="1620" w:type="dxa"/>
            <w:vAlign w:val="center"/>
          </w:tcPr>
          <w:p w14:paraId="609992CF">
            <w:pPr>
              <w:spacing w:line="360" w:lineRule="auto"/>
              <w:rPr>
                <w:rFonts w:ascii="宋体" w:hAnsi="宋体"/>
                <w:color w:val="auto"/>
                <w:szCs w:val="21"/>
                <w:highlight w:val="none"/>
              </w:rPr>
            </w:pPr>
          </w:p>
        </w:tc>
      </w:tr>
      <w:tr w14:paraId="5EAA5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30" w:hRule="atLeast"/>
        </w:trPr>
        <w:tc>
          <w:tcPr>
            <w:tcW w:w="2770" w:type="dxa"/>
            <w:vAlign w:val="center"/>
          </w:tcPr>
          <w:p w14:paraId="01BBF7E6">
            <w:pPr>
              <w:spacing w:line="360" w:lineRule="auto"/>
              <w:jc w:val="center"/>
              <w:rPr>
                <w:rFonts w:ascii="宋体" w:hAnsi="宋体"/>
                <w:color w:val="auto"/>
                <w:szCs w:val="21"/>
                <w:highlight w:val="none"/>
              </w:rPr>
            </w:pPr>
            <w:r>
              <w:rPr>
                <w:rFonts w:hint="eastAsia" w:ascii="宋体" w:hAnsi="宋体"/>
                <w:color w:val="auto"/>
                <w:szCs w:val="21"/>
                <w:highlight w:val="none"/>
              </w:rPr>
              <w:t>合计</w:t>
            </w:r>
          </w:p>
        </w:tc>
        <w:tc>
          <w:tcPr>
            <w:tcW w:w="6104" w:type="dxa"/>
            <w:gridSpan w:val="5"/>
          </w:tcPr>
          <w:p w14:paraId="6B6DC0AC">
            <w:pPr>
              <w:spacing w:line="360" w:lineRule="auto"/>
              <w:rPr>
                <w:rFonts w:ascii="宋体" w:hAnsi="宋体"/>
                <w:color w:val="auto"/>
                <w:szCs w:val="21"/>
                <w:highlight w:val="none"/>
              </w:rPr>
            </w:pPr>
            <w:r>
              <w:rPr>
                <w:rFonts w:hint="eastAsia" w:ascii="宋体" w:hAnsi="宋体"/>
                <w:color w:val="auto"/>
                <w:szCs w:val="21"/>
                <w:highlight w:val="none"/>
              </w:rPr>
              <w:t xml:space="preserve"> </w:t>
            </w:r>
          </w:p>
        </w:tc>
      </w:tr>
    </w:tbl>
    <w:p w14:paraId="4DDF9DF5">
      <w:pPr>
        <w:pStyle w:val="47"/>
        <w:spacing w:line="360" w:lineRule="auto"/>
        <w:ind w:firstLine="420"/>
        <w:rPr>
          <w:rFonts w:ascii="宋体" w:hAnsi="宋体" w:cs="Times New Roman"/>
          <w:b/>
          <w:bCs/>
          <w:color w:val="auto"/>
          <w:sz w:val="21"/>
          <w:szCs w:val="22"/>
          <w:highlight w:val="none"/>
        </w:rPr>
      </w:pPr>
    </w:p>
    <w:p w14:paraId="1BAADE05">
      <w:pPr>
        <w:widowControl/>
        <w:spacing w:line="360" w:lineRule="auto"/>
        <w:jc w:val="left"/>
        <w:rPr>
          <w:rFonts w:ascii="宋体" w:hAnsi="宋体" w:cs="Arial"/>
          <w:b/>
          <w:bCs/>
          <w:color w:val="auto"/>
          <w:highlight w:val="none"/>
        </w:rPr>
      </w:pPr>
    </w:p>
    <w:p w14:paraId="5218EAB4">
      <w:pPr>
        <w:widowControl/>
        <w:spacing w:line="360" w:lineRule="auto"/>
        <w:jc w:val="left"/>
        <w:rPr>
          <w:rFonts w:ascii="宋体" w:hAnsi="宋体" w:cs="Arial"/>
          <w:b/>
          <w:bCs/>
          <w:color w:val="auto"/>
          <w:highlight w:val="none"/>
        </w:rPr>
      </w:pPr>
    </w:p>
    <w:p w14:paraId="166858CF">
      <w:pPr>
        <w:widowControl/>
        <w:spacing w:line="360" w:lineRule="auto"/>
        <w:jc w:val="left"/>
        <w:rPr>
          <w:rFonts w:ascii="宋体" w:hAnsi="宋体" w:cs="Arial"/>
          <w:b/>
          <w:bCs/>
          <w:color w:val="auto"/>
          <w:highlight w:val="none"/>
        </w:rPr>
      </w:pPr>
    </w:p>
    <w:p w14:paraId="30999282">
      <w:pPr>
        <w:pStyle w:val="8"/>
        <w:rPr>
          <w:rFonts w:ascii="宋体" w:hAnsi="宋体" w:eastAsia="宋体" w:cs="Arial"/>
          <w:b/>
          <w:bCs/>
          <w:color w:val="auto"/>
          <w:highlight w:val="none"/>
        </w:rPr>
      </w:pPr>
    </w:p>
    <w:p w14:paraId="38FA30B5">
      <w:pPr>
        <w:rPr>
          <w:rFonts w:ascii="宋体" w:hAnsi="宋体" w:cs="Arial"/>
          <w:b/>
          <w:bCs/>
          <w:color w:val="auto"/>
          <w:highlight w:val="none"/>
        </w:rPr>
      </w:pPr>
    </w:p>
    <w:p w14:paraId="7EECF5C6">
      <w:pPr>
        <w:pStyle w:val="8"/>
        <w:rPr>
          <w:rFonts w:ascii="宋体" w:hAnsi="宋体" w:eastAsia="宋体" w:cs="Arial"/>
          <w:b/>
          <w:bCs/>
          <w:color w:val="auto"/>
          <w:highlight w:val="none"/>
        </w:rPr>
      </w:pPr>
    </w:p>
    <w:p w14:paraId="60EF593E">
      <w:pPr>
        <w:rPr>
          <w:rFonts w:ascii="宋体" w:hAnsi="宋体" w:cs="Arial"/>
          <w:b/>
          <w:bCs/>
          <w:color w:val="auto"/>
          <w:highlight w:val="none"/>
        </w:rPr>
      </w:pPr>
    </w:p>
    <w:p w14:paraId="1E1E3F64">
      <w:pPr>
        <w:pStyle w:val="8"/>
        <w:rPr>
          <w:rFonts w:ascii="宋体" w:hAnsi="宋体" w:eastAsia="宋体" w:cs="Arial"/>
          <w:b/>
          <w:bCs/>
          <w:color w:val="auto"/>
          <w:highlight w:val="none"/>
        </w:rPr>
      </w:pPr>
    </w:p>
    <w:p w14:paraId="4997C1CE">
      <w:pPr>
        <w:rPr>
          <w:rFonts w:ascii="宋体" w:hAnsi="宋体" w:cs="Arial"/>
          <w:b/>
          <w:bCs/>
          <w:color w:val="auto"/>
          <w:highlight w:val="none"/>
        </w:rPr>
      </w:pPr>
    </w:p>
    <w:p w14:paraId="4325EBAD">
      <w:pPr>
        <w:pStyle w:val="8"/>
        <w:rPr>
          <w:rFonts w:ascii="宋体" w:hAnsi="宋体" w:eastAsia="宋体"/>
          <w:color w:val="auto"/>
          <w:highlight w:val="none"/>
        </w:rPr>
      </w:pPr>
    </w:p>
    <w:p w14:paraId="4228C47D">
      <w:pPr>
        <w:pStyle w:val="3"/>
        <w:numPr>
          <w:ilvl w:val="0"/>
          <w:numId w:val="7"/>
        </w:numPr>
        <w:spacing w:line="360" w:lineRule="auto"/>
        <w:rPr>
          <w:rFonts w:ascii="宋体" w:hAnsi="宋体" w:eastAsia="宋体"/>
          <w:color w:val="auto"/>
          <w:sz w:val="32"/>
          <w:highlight w:val="none"/>
        </w:rPr>
      </w:pPr>
      <w:r>
        <w:rPr>
          <w:rFonts w:hint="eastAsia" w:ascii="宋体" w:hAnsi="宋体" w:eastAsia="宋体"/>
          <w:color w:val="auto"/>
          <w:sz w:val="32"/>
          <w:highlight w:val="none"/>
        </w:rPr>
        <w:t>技术参数响应及偏离表</w:t>
      </w:r>
    </w:p>
    <w:p w14:paraId="3EC8F4CD">
      <w:pPr>
        <w:spacing w:line="360" w:lineRule="auto"/>
        <w:ind w:firstLine="480"/>
        <w:rPr>
          <w:rFonts w:ascii="宋体" w:hAnsi="宋体"/>
          <w:color w:val="auto"/>
          <w:szCs w:val="21"/>
          <w:highlight w:val="none"/>
        </w:rPr>
      </w:pPr>
      <w:r>
        <w:rPr>
          <w:rFonts w:ascii="宋体" w:hAnsi="宋体"/>
          <w:color w:val="auto"/>
          <w:szCs w:val="21"/>
          <w:highlight w:val="none"/>
        </w:rPr>
        <w:t>投标人全称（加盖公章）：</w:t>
      </w:r>
    </w:p>
    <w:p w14:paraId="2B5BEE0D">
      <w:pPr>
        <w:spacing w:line="360" w:lineRule="auto"/>
        <w:ind w:firstLine="480"/>
        <w:rPr>
          <w:rFonts w:ascii="宋体" w:hAnsi="宋体"/>
          <w:color w:val="auto"/>
          <w:szCs w:val="21"/>
          <w:highlight w:val="none"/>
        </w:rPr>
      </w:pPr>
      <w:r>
        <w:rPr>
          <w:rFonts w:hint="eastAsia" w:ascii="宋体" w:hAnsi="宋体"/>
          <w:color w:val="auto"/>
          <w:szCs w:val="21"/>
          <w:highlight w:val="none"/>
        </w:rPr>
        <w:t>项目名称：</w:t>
      </w:r>
    </w:p>
    <w:p w14:paraId="01DDE3D4">
      <w:pPr>
        <w:spacing w:line="360" w:lineRule="auto"/>
        <w:ind w:firstLine="480"/>
        <w:rPr>
          <w:rFonts w:ascii="宋体" w:hAnsi="宋体"/>
          <w:color w:val="auto"/>
          <w:szCs w:val="21"/>
          <w:highlight w:val="none"/>
        </w:rPr>
      </w:pPr>
      <w:r>
        <w:rPr>
          <w:rFonts w:hint="eastAsia" w:ascii="宋体" w:hAnsi="宋体"/>
          <w:color w:val="auto"/>
          <w:szCs w:val="21"/>
          <w:highlight w:val="none"/>
        </w:rPr>
        <w:t xml:space="preserve">项目编号： </w:t>
      </w:r>
    </w:p>
    <w:p w14:paraId="12724E62">
      <w:pPr>
        <w:rPr>
          <w:rFonts w:ascii="宋体" w:hAnsi="宋体"/>
          <w:color w:val="auto"/>
          <w:highlight w:val="none"/>
        </w:rPr>
      </w:pPr>
    </w:p>
    <w:tbl>
      <w:tblPr>
        <w:tblStyle w:val="21"/>
        <w:tblW w:w="89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4"/>
        <w:gridCol w:w="2551"/>
        <w:gridCol w:w="2701"/>
        <w:gridCol w:w="1458"/>
        <w:gridCol w:w="1210"/>
      </w:tblGrid>
      <w:tr w14:paraId="10DAC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84" w:type="dxa"/>
            <w:vAlign w:val="center"/>
          </w:tcPr>
          <w:p w14:paraId="0B1E9E32">
            <w:pPr>
              <w:spacing w:line="360" w:lineRule="auto"/>
              <w:jc w:val="center"/>
              <w:rPr>
                <w:rFonts w:ascii="宋体" w:hAnsi="宋体"/>
                <w:color w:val="auto"/>
                <w:szCs w:val="21"/>
                <w:highlight w:val="none"/>
              </w:rPr>
            </w:pPr>
            <w:r>
              <w:rPr>
                <w:rFonts w:hint="eastAsia" w:ascii="宋体" w:hAnsi="宋体"/>
                <w:color w:val="auto"/>
                <w:szCs w:val="21"/>
                <w:highlight w:val="none"/>
              </w:rPr>
              <w:t>序号</w:t>
            </w:r>
          </w:p>
        </w:tc>
        <w:tc>
          <w:tcPr>
            <w:tcW w:w="2551" w:type="dxa"/>
            <w:vAlign w:val="center"/>
          </w:tcPr>
          <w:p w14:paraId="2C6D4C42">
            <w:pPr>
              <w:spacing w:line="360" w:lineRule="auto"/>
              <w:jc w:val="center"/>
              <w:rPr>
                <w:rFonts w:ascii="宋体" w:hAnsi="宋体"/>
                <w:color w:val="auto"/>
                <w:szCs w:val="21"/>
                <w:highlight w:val="none"/>
              </w:rPr>
            </w:pPr>
            <w:r>
              <w:rPr>
                <w:rFonts w:hint="eastAsia" w:ascii="宋体" w:hAnsi="宋体"/>
                <w:color w:val="auto"/>
                <w:szCs w:val="21"/>
                <w:highlight w:val="none"/>
              </w:rPr>
              <w:t>招标要求</w:t>
            </w:r>
          </w:p>
        </w:tc>
        <w:tc>
          <w:tcPr>
            <w:tcW w:w="2701" w:type="dxa"/>
            <w:vAlign w:val="center"/>
          </w:tcPr>
          <w:p w14:paraId="39EA5905">
            <w:pPr>
              <w:spacing w:line="360" w:lineRule="auto"/>
              <w:jc w:val="center"/>
              <w:rPr>
                <w:rFonts w:ascii="宋体" w:hAnsi="宋体"/>
                <w:color w:val="auto"/>
                <w:szCs w:val="21"/>
                <w:highlight w:val="none"/>
              </w:rPr>
            </w:pPr>
            <w:r>
              <w:rPr>
                <w:rFonts w:hint="eastAsia" w:ascii="宋体" w:hAnsi="宋体"/>
                <w:color w:val="auto"/>
                <w:szCs w:val="21"/>
                <w:highlight w:val="none"/>
              </w:rPr>
              <w:t>投标响应</w:t>
            </w:r>
          </w:p>
        </w:tc>
        <w:tc>
          <w:tcPr>
            <w:tcW w:w="1458" w:type="dxa"/>
            <w:vAlign w:val="center"/>
          </w:tcPr>
          <w:p w14:paraId="6C4E5746">
            <w:pPr>
              <w:spacing w:line="360" w:lineRule="auto"/>
              <w:jc w:val="center"/>
              <w:rPr>
                <w:rFonts w:ascii="宋体" w:hAnsi="宋体"/>
                <w:color w:val="auto"/>
                <w:szCs w:val="21"/>
                <w:highlight w:val="none"/>
              </w:rPr>
            </w:pPr>
            <w:r>
              <w:rPr>
                <w:rFonts w:hint="eastAsia" w:ascii="宋体" w:hAnsi="宋体"/>
                <w:color w:val="auto"/>
                <w:szCs w:val="21"/>
                <w:highlight w:val="none"/>
              </w:rPr>
              <w:t>超出、符合或偏离</w:t>
            </w:r>
          </w:p>
        </w:tc>
        <w:tc>
          <w:tcPr>
            <w:tcW w:w="1210" w:type="dxa"/>
            <w:vAlign w:val="center"/>
          </w:tcPr>
          <w:p w14:paraId="3F96501F">
            <w:pPr>
              <w:spacing w:line="360" w:lineRule="auto"/>
              <w:jc w:val="center"/>
              <w:rPr>
                <w:rFonts w:ascii="宋体" w:hAnsi="宋体"/>
                <w:color w:val="auto"/>
                <w:szCs w:val="21"/>
                <w:highlight w:val="none"/>
              </w:rPr>
            </w:pPr>
            <w:r>
              <w:rPr>
                <w:rFonts w:hint="eastAsia" w:ascii="宋体" w:hAnsi="宋体"/>
                <w:color w:val="auto"/>
                <w:szCs w:val="21"/>
                <w:highlight w:val="none"/>
              </w:rPr>
              <w:t>证明材料</w:t>
            </w:r>
          </w:p>
        </w:tc>
      </w:tr>
      <w:tr w14:paraId="7A9C00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984" w:type="dxa"/>
          </w:tcPr>
          <w:p w14:paraId="1BDF7652">
            <w:pPr>
              <w:spacing w:line="360" w:lineRule="auto"/>
              <w:jc w:val="center"/>
              <w:rPr>
                <w:rFonts w:ascii="宋体" w:hAnsi="宋体"/>
                <w:color w:val="auto"/>
                <w:szCs w:val="21"/>
                <w:highlight w:val="none"/>
              </w:rPr>
            </w:pPr>
          </w:p>
        </w:tc>
        <w:tc>
          <w:tcPr>
            <w:tcW w:w="2551" w:type="dxa"/>
          </w:tcPr>
          <w:p w14:paraId="7580C444">
            <w:pPr>
              <w:spacing w:line="360" w:lineRule="auto"/>
              <w:jc w:val="center"/>
              <w:rPr>
                <w:rFonts w:ascii="宋体" w:hAnsi="宋体"/>
                <w:color w:val="auto"/>
                <w:szCs w:val="21"/>
                <w:highlight w:val="none"/>
              </w:rPr>
            </w:pPr>
          </w:p>
        </w:tc>
        <w:tc>
          <w:tcPr>
            <w:tcW w:w="2701" w:type="dxa"/>
          </w:tcPr>
          <w:p w14:paraId="37593D2D">
            <w:pPr>
              <w:spacing w:line="360" w:lineRule="auto"/>
              <w:jc w:val="center"/>
              <w:rPr>
                <w:rFonts w:ascii="宋体" w:hAnsi="宋体"/>
                <w:color w:val="auto"/>
                <w:szCs w:val="21"/>
                <w:highlight w:val="none"/>
              </w:rPr>
            </w:pPr>
          </w:p>
        </w:tc>
        <w:tc>
          <w:tcPr>
            <w:tcW w:w="1458" w:type="dxa"/>
          </w:tcPr>
          <w:p w14:paraId="0C6723B1">
            <w:pPr>
              <w:spacing w:line="360" w:lineRule="auto"/>
              <w:jc w:val="center"/>
              <w:rPr>
                <w:rFonts w:ascii="宋体" w:hAnsi="宋体"/>
                <w:color w:val="auto"/>
                <w:szCs w:val="21"/>
                <w:highlight w:val="none"/>
              </w:rPr>
            </w:pPr>
          </w:p>
        </w:tc>
        <w:tc>
          <w:tcPr>
            <w:tcW w:w="1210" w:type="dxa"/>
          </w:tcPr>
          <w:p w14:paraId="1C027692">
            <w:pPr>
              <w:spacing w:line="360" w:lineRule="auto"/>
              <w:jc w:val="center"/>
              <w:rPr>
                <w:rFonts w:ascii="宋体" w:hAnsi="宋体"/>
                <w:color w:val="auto"/>
                <w:szCs w:val="21"/>
                <w:highlight w:val="none"/>
              </w:rPr>
            </w:pPr>
          </w:p>
        </w:tc>
      </w:tr>
      <w:tr w14:paraId="19729B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984" w:type="dxa"/>
          </w:tcPr>
          <w:p w14:paraId="570F7757">
            <w:pPr>
              <w:spacing w:line="360" w:lineRule="auto"/>
              <w:jc w:val="center"/>
              <w:rPr>
                <w:rFonts w:ascii="宋体" w:hAnsi="宋体"/>
                <w:color w:val="auto"/>
                <w:szCs w:val="21"/>
                <w:highlight w:val="none"/>
              </w:rPr>
            </w:pPr>
          </w:p>
        </w:tc>
        <w:tc>
          <w:tcPr>
            <w:tcW w:w="2551" w:type="dxa"/>
          </w:tcPr>
          <w:p w14:paraId="43B6D32C">
            <w:pPr>
              <w:spacing w:line="360" w:lineRule="auto"/>
              <w:jc w:val="center"/>
              <w:rPr>
                <w:rFonts w:ascii="宋体" w:hAnsi="宋体"/>
                <w:color w:val="auto"/>
                <w:szCs w:val="21"/>
                <w:highlight w:val="none"/>
              </w:rPr>
            </w:pPr>
          </w:p>
        </w:tc>
        <w:tc>
          <w:tcPr>
            <w:tcW w:w="2701" w:type="dxa"/>
          </w:tcPr>
          <w:p w14:paraId="2EA9F2CE">
            <w:pPr>
              <w:spacing w:line="360" w:lineRule="auto"/>
              <w:jc w:val="center"/>
              <w:rPr>
                <w:rFonts w:ascii="宋体" w:hAnsi="宋体"/>
                <w:color w:val="auto"/>
                <w:szCs w:val="21"/>
                <w:highlight w:val="none"/>
              </w:rPr>
            </w:pPr>
          </w:p>
        </w:tc>
        <w:tc>
          <w:tcPr>
            <w:tcW w:w="1458" w:type="dxa"/>
          </w:tcPr>
          <w:p w14:paraId="3D3E2096">
            <w:pPr>
              <w:spacing w:line="360" w:lineRule="auto"/>
              <w:jc w:val="center"/>
              <w:rPr>
                <w:rFonts w:ascii="宋体" w:hAnsi="宋体"/>
                <w:color w:val="auto"/>
                <w:szCs w:val="21"/>
                <w:highlight w:val="none"/>
              </w:rPr>
            </w:pPr>
          </w:p>
        </w:tc>
        <w:tc>
          <w:tcPr>
            <w:tcW w:w="1210" w:type="dxa"/>
          </w:tcPr>
          <w:p w14:paraId="1ABBFADA">
            <w:pPr>
              <w:spacing w:line="360" w:lineRule="auto"/>
              <w:jc w:val="center"/>
              <w:rPr>
                <w:rFonts w:ascii="宋体" w:hAnsi="宋体"/>
                <w:color w:val="auto"/>
                <w:szCs w:val="21"/>
                <w:highlight w:val="none"/>
              </w:rPr>
            </w:pPr>
          </w:p>
        </w:tc>
      </w:tr>
      <w:tr w14:paraId="2F8B4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984" w:type="dxa"/>
          </w:tcPr>
          <w:p w14:paraId="5F006804">
            <w:pPr>
              <w:spacing w:line="360" w:lineRule="auto"/>
              <w:jc w:val="center"/>
              <w:rPr>
                <w:rFonts w:ascii="宋体" w:hAnsi="宋体"/>
                <w:color w:val="auto"/>
                <w:szCs w:val="21"/>
                <w:highlight w:val="none"/>
              </w:rPr>
            </w:pPr>
          </w:p>
        </w:tc>
        <w:tc>
          <w:tcPr>
            <w:tcW w:w="2551" w:type="dxa"/>
          </w:tcPr>
          <w:p w14:paraId="6DD5E9CC">
            <w:pPr>
              <w:spacing w:line="360" w:lineRule="auto"/>
              <w:jc w:val="center"/>
              <w:rPr>
                <w:rFonts w:ascii="宋体" w:hAnsi="宋体"/>
                <w:color w:val="auto"/>
                <w:szCs w:val="21"/>
                <w:highlight w:val="none"/>
              </w:rPr>
            </w:pPr>
          </w:p>
        </w:tc>
        <w:tc>
          <w:tcPr>
            <w:tcW w:w="2701" w:type="dxa"/>
          </w:tcPr>
          <w:p w14:paraId="78D2A89D">
            <w:pPr>
              <w:spacing w:line="360" w:lineRule="auto"/>
              <w:jc w:val="center"/>
              <w:rPr>
                <w:rFonts w:ascii="宋体" w:hAnsi="宋体"/>
                <w:color w:val="auto"/>
                <w:szCs w:val="21"/>
                <w:highlight w:val="none"/>
              </w:rPr>
            </w:pPr>
          </w:p>
        </w:tc>
        <w:tc>
          <w:tcPr>
            <w:tcW w:w="1458" w:type="dxa"/>
          </w:tcPr>
          <w:p w14:paraId="22EE9920">
            <w:pPr>
              <w:spacing w:line="360" w:lineRule="auto"/>
              <w:jc w:val="center"/>
              <w:rPr>
                <w:rFonts w:ascii="宋体" w:hAnsi="宋体"/>
                <w:color w:val="auto"/>
                <w:szCs w:val="21"/>
                <w:highlight w:val="none"/>
              </w:rPr>
            </w:pPr>
          </w:p>
        </w:tc>
        <w:tc>
          <w:tcPr>
            <w:tcW w:w="1210" w:type="dxa"/>
          </w:tcPr>
          <w:p w14:paraId="467F3821">
            <w:pPr>
              <w:spacing w:line="360" w:lineRule="auto"/>
              <w:jc w:val="center"/>
              <w:rPr>
                <w:rFonts w:ascii="宋体" w:hAnsi="宋体"/>
                <w:color w:val="auto"/>
                <w:szCs w:val="21"/>
                <w:highlight w:val="none"/>
              </w:rPr>
            </w:pPr>
          </w:p>
        </w:tc>
      </w:tr>
      <w:tr w14:paraId="32801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984" w:type="dxa"/>
          </w:tcPr>
          <w:p w14:paraId="7328D017">
            <w:pPr>
              <w:spacing w:line="360" w:lineRule="auto"/>
              <w:jc w:val="center"/>
              <w:rPr>
                <w:rFonts w:ascii="宋体" w:hAnsi="宋体"/>
                <w:color w:val="auto"/>
                <w:szCs w:val="21"/>
                <w:highlight w:val="none"/>
              </w:rPr>
            </w:pPr>
          </w:p>
        </w:tc>
        <w:tc>
          <w:tcPr>
            <w:tcW w:w="2551" w:type="dxa"/>
          </w:tcPr>
          <w:p w14:paraId="13435DDC">
            <w:pPr>
              <w:spacing w:line="360" w:lineRule="auto"/>
              <w:jc w:val="center"/>
              <w:rPr>
                <w:rFonts w:ascii="宋体" w:hAnsi="宋体"/>
                <w:color w:val="auto"/>
                <w:szCs w:val="21"/>
                <w:highlight w:val="none"/>
              </w:rPr>
            </w:pPr>
          </w:p>
        </w:tc>
        <w:tc>
          <w:tcPr>
            <w:tcW w:w="2701" w:type="dxa"/>
          </w:tcPr>
          <w:p w14:paraId="433EAAD0">
            <w:pPr>
              <w:spacing w:line="360" w:lineRule="auto"/>
              <w:jc w:val="center"/>
              <w:rPr>
                <w:rFonts w:ascii="宋体" w:hAnsi="宋体"/>
                <w:color w:val="auto"/>
                <w:szCs w:val="21"/>
                <w:highlight w:val="none"/>
              </w:rPr>
            </w:pPr>
          </w:p>
        </w:tc>
        <w:tc>
          <w:tcPr>
            <w:tcW w:w="1458" w:type="dxa"/>
          </w:tcPr>
          <w:p w14:paraId="1D150EC6">
            <w:pPr>
              <w:spacing w:line="360" w:lineRule="auto"/>
              <w:jc w:val="center"/>
              <w:rPr>
                <w:rFonts w:ascii="宋体" w:hAnsi="宋体"/>
                <w:color w:val="auto"/>
                <w:szCs w:val="21"/>
                <w:highlight w:val="none"/>
              </w:rPr>
            </w:pPr>
          </w:p>
        </w:tc>
        <w:tc>
          <w:tcPr>
            <w:tcW w:w="1210" w:type="dxa"/>
          </w:tcPr>
          <w:p w14:paraId="5470D4AA">
            <w:pPr>
              <w:spacing w:line="360" w:lineRule="auto"/>
              <w:jc w:val="center"/>
              <w:rPr>
                <w:rFonts w:ascii="宋体" w:hAnsi="宋体"/>
                <w:color w:val="auto"/>
                <w:szCs w:val="21"/>
                <w:highlight w:val="none"/>
              </w:rPr>
            </w:pPr>
          </w:p>
        </w:tc>
      </w:tr>
      <w:tr w14:paraId="3683F8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984" w:type="dxa"/>
          </w:tcPr>
          <w:p w14:paraId="1A15DE81">
            <w:pPr>
              <w:spacing w:line="360" w:lineRule="auto"/>
              <w:jc w:val="center"/>
              <w:rPr>
                <w:rFonts w:ascii="宋体" w:hAnsi="宋体"/>
                <w:color w:val="auto"/>
                <w:szCs w:val="21"/>
                <w:highlight w:val="none"/>
              </w:rPr>
            </w:pPr>
          </w:p>
        </w:tc>
        <w:tc>
          <w:tcPr>
            <w:tcW w:w="2551" w:type="dxa"/>
          </w:tcPr>
          <w:p w14:paraId="53143393">
            <w:pPr>
              <w:spacing w:line="360" w:lineRule="auto"/>
              <w:jc w:val="center"/>
              <w:rPr>
                <w:rFonts w:ascii="宋体" w:hAnsi="宋体"/>
                <w:color w:val="auto"/>
                <w:szCs w:val="21"/>
                <w:highlight w:val="none"/>
              </w:rPr>
            </w:pPr>
          </w:p>
        </w:tc>
        <w:tc>
          <w:tcPr>
            <w:tcW w:w="2701" w:type="dxa"/>
          </w:tcPr>
          <w:p w14:paraId="1ECFAE67">
            <w:pPr>
              <w:spacing w:line="360" w:lineRule="auto"/>
              <w:jc w:val="center"/>
              <w:rPr>
                <w:rFonts w:ascii="宋体" w:hAnsi="宋体"/>
                <w:color w:val="auto"/>
                <w:szCs w:val="21"/>
                <w:highlight w:val="none"/>
              </w:rPr>
            </w:pPr>
          </w:p>
        </w:tc>
        <w:tc>
          <w:tcPr>
            <w:tcW w:w="1458" w:type="dxa"/>
          </w:tcPr>
          <w:p w14:paraId="15CF2CAA">
            <w:pPr>
              <w:spacing w:line="360" w:lineRule="auto"/>
              <w:jc w:val="center"/>
              <w:rPr>
                <w:rFonts w:ascii="宋体" w:hAnsi="宋体"/>
                <w:color w:val="auto"/>
                <w:szCs w:val="21"/>
                <w:highlight w:val="none"/>
              </w:rPr>
            </w:pPr>
          </w:p>
        </w:tc>
        <w:tc>
          <w:tcPr>
            <w:tcW w:w="1210" w:type="dxa"/>
          </w:tcPr>
          <w:p w14:paraId="03485772">
            <w:pPr>
              <w:spacing w:line="360" w:lineRule="auto"/>
              <w:jc w:val="center"/>
              <w:rPr>
                <w:rFonts w:ascii="宋体" w:hAnsi="宋体"/>
                <w:color w:val="auto"/>
                <w:szCs w:val="21"/>
                <w:highlight w:val="none"/>
              </w:rPr>
            </w:pPr>
          </w:p>
        </w:tc>
      </w:tr>
      <w:tr w14:paraId="75E4F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984" w:type="dxa"/>
          </w:tcPr>
          <w:p w14:paraId="132E5811">
            <w:pPr>
              <w:spacing w:line="360" w:lineRule="auto"/>
              <w:jc w:val="center"/>
              <w:rPr>
                <w:rFonts w:ascii="宋体" w:hAnsi="宋体"/>
                <w:color w:val="auto"/>
                <w:szCs w:val="21"/>
                <w:highlight w:val="none"/>
              </w:rPr>
            </w:pPr>
          </w:p>
        </w:tc>
        <w:tc>
          <w:tcPr>
            <w:tcW w:w="2551" w:type="dxa"/>
          </w:tcPr>
          <w:p w14:paraId="6C5DF93C">
            <w:pPr>
              <w:spacing w:line="360" w:lineRule="auto"/>
              <w:jc w:val="center"/>
              <w:rPr>
                <w:rFonts w:ascii="宋体" w:hAnsi="宋体"/>
                <w:color w:val="auto"/>
                <w:szCs w:val="21"/>
                <w:highlight w:val="none"/>
              </w:rPr>
            </w:pPr>
          </w:p>
        </w:tc>
        <w:tc>
          <w:tcPr>
            <w:tcW w:w="2701" w:type="dxa"/>
          </w:tcPr>
          <w:p w14:paraId="46A06E25">
            <w:pPr>
              <w:spacing w:line="360" w:lineRule="auto"/>
              <w:jc w:val="center"/>
              <w:rPr>
                <w:rFonts w:ascii="宋体" w:hAnsi="宋体"/>
                <w:color w:val="auto"/>
                <w:szCs w:val="21"/>
                <w:highlight w:val="none"/>
              </w:rPr>
            </w:pPr>
          </w:p>
        </w:tc>
        <w:tc>
          <w:tcPr>
            <w:tcW w:w="1458" w:type="dxa"/>
          </w:tcPr>
          <w:p w14:paraId="62812C64">
            <w:pPr>
              <w:spacing w:line="360" w:lineRule="auto"/>
              <w:jc w:val="center"/>
              <w:rPr>
                <w:rFonts w:ascii="宋体" w:hAnsi="宋体"/>
                <w:color w:val="auto"/>
                <w:szCs w:val="21"/>
                <w:highlight w:val="none"/>
              </w:rPr>
            </w:pPr>
          </w:p>
        </w:tc>
        <w:tc>
          <w:tcPr>
            <w:tcW w:w="1210" w:type="dxa"/>
          </w:tcPr>
          <w:p w14:paraId="0E89BBE2">
            <w:pPr>
              <w:spacing w:line="360" w:lineRule="auto"/>
              <w:jc w:val="center"/>
              <w:rPr>
                <w:rFonts w:ascii="宋体" w:hAnsi="宋体"/>
                <w:color w:val="auto"/>
                <w:szCs w:val="21"/>
                <w:highlight w:val="none"/>
              </w:rPr>
            </w:pPr>
          </w:p>
        </w:tc>
      </w:tr>
      <w:tr w14:paraId="47D66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984" w:type="dxa"/>
          </w:tcPr>
          <w:p w14:paraId="0BE3C0E3">
            <w:pPr>
              <w:spacing w:line="360" w:lineRule="auto"/>
              <w:jc w:val="center"/>
              <w:rPr>
                <w:rFonts w:ascii="宋体" w:hAnsi="宋体"/>
                <w:color w:val="auto"/>
                <w:szCs w:val="21"/>
                <w:highlight w:val="none"/>
              </w:rPr>
            </w:pPr>
          </w:p>
        </w:tc>
        <w:tc>
          <w:tcPr>
            <w:tcW w:w="2551" w:type="dxa"/>
          </w:tcPr>
          <w:p w14:paraId="35D26B71">
            <w:pPr>
              <w:spacing w:line="360" w:lineRule="auto"/>
              <w:jc w:val="center"/>
              <w:rPr>
                <w:rFonts w:ascii="宋体" w:hAnsi="宋体"/>
                <w:color w:val="auto"/>
                <w:szCs w:val="21"/>
                <w:highlight w:val="none"/>
              </w:rPr>
            </w:pPr>
          </w:p>
        </w:tc>
        <w:tc>
          <w:tcPr>
            <w:tcW w:w="2701" w:type="dxa"/>
          </w:tcPr>
          <w:p w14:paraId="2FC278FB">
            <w:pPr>
              <w:spacing w:line="360" w:lineRule="auto"/>
              <w:jc w:val="center"/>
              <w:rPr>
                <w:rFonts w:ascii="宋体" w:hAnsi="宋体"/>
                <w:color w:val="auto"/>
                <w:szCs w:val="21"/>
                <w:highlight w:val="none"/>
              </w:rPr>
            </w:pPr>
          </w:p>
        </w:tc>
        <w:tc>
          <w:tcPr>
            <w:tcW w:w="1458" w:type="dxa"/>
          </w:tcPr>
          <w:p w14:paraId="1162237D">
            <w:pPr>
              <w:spacing w:line="360" w:lineRule="auto"/>
              <w:jc w:val="center"/>
              <w:rPr>
                <w:rFonts w:ascii="宋体" w:hAnsi="宋体"/>
                <w:color w:val="auto"/>
                <w:szCs w:val="21"/>
                <w:highlight w:val="none"/>
              </w:rPr>
            </w:pPr>
          </w:p>
        </w:tc>
        <w:tc>
          <w:tcPr>
            <w:tcW w:w="1210" w:type="dxa"/>
          </w:tcPr>
          <w:p w14:paraId="55CDA5F4">
            <w:pPr>
              <w:spacing w:line="360" w:lineRule="auto"/>
              <w:jc w:val="center"/>
              <w:rPr>
                <w:rFonts w:ascii="宋体" w:hAnsi="宋体"/>
                <w:color w:val="auto"/>
                <w:szCs w:val="21"/>
                <w:highlight w:val="none"/>
              </w:rPr>
            </w:pPr>
          </w:p>
        </w:tc>
      </w:tr>
      <w:tr w14:paraId="335186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984" w:type="dxa"/>
          </w:tcPr>
          <w:p w14:paraId="0B3B2676">
            <w:pPr>
              <w:spacing w:line="360" w:lineRule="auto"/>
              <w:jc w:val="center"/>
              <w:rPr>
                <w:rFonts w:ascii="宋体" w:hAnsi="宋体"/>
                <w:color w:val="auto"/>
                <w:szCs w:val="21"/>
                <w:highlight w:val="none"/>
              </w:rPr>
            </w:pPr>
          </w:p>
        </w:tc>
        <w:tc>
          <w:tcPr>
            <w:tcW w:w="2551" w:type="dxa"/>
          </w:tcPr>
          <w:p w14:paraId="17D0A1CF">
            <w:pPr>
              <w:spacing w:line="360" w:lineRule="auto"/>
              <w:jc w:val="center"/>
              <w:rPr>
                <w:rFonts w:ascii="宋体" w:hAnsi="宋体"/>
                <w:color w:val="auto"/>
                <w:szCs w:val="21"/>
                <w:highlight w:val="none"/>
              </w:rPr>
            </w:pPr>
          </w:p>
        </w:tc>
        <w:tc>
          <w:tcPr>
            <w:tcW w:w="2701" w:type="dxa"/>
          </w:tcPr>
          <w:p w14:paraId="210D36BC">
            <w:pPr>
              <w:spacing w:line="360" w:lineRule="auto"/>
              <w:jc w:val="center"/>
              <w:rPr>
                <w:rFonts w:ascii="宋体" w:hAnsi="宋体"/>
                <w:color w:val="auto"/>
                <w:szCs w:val="21"/>
                <w:highlight w:val="none"/>
              </w:rPr>
            </w:pPr>
          </w:p>
        </w:tc>
        <w:tc>
          <w:tcPr>
            <w:tcW w:w="1458" w:type="dxa"/>
          </w:tcPr>
          <w:p w14:paraId="1C847F26">
            <w:pPr>
              <w:spacing w:line="360" w:lineRule="auto"/>
              <w:jc w:val="center"/>
              <w:rPr>
                <w:rFonts w:ascii="宋体" w:hAnsi="宋体"/>
                <w:color w:val="auto"/>
                <w:szCs w:val="21"/>
                <w:highlight w:val="none"/>
              </w:rPr>
            </w:pPr>
          </w:p>
        </w:tc>
        <w:tc>
          <w:tcPr>
            <w:tcW w:w="1210" w:type="dxa"/>
          </w:tcPr>
          <w:p w14:paraId="6C4AA26A">
            <w:pPr>
              <w:spacing w:line="360" w:lineRule="auto"/>
              <w:jc w:val="center"/>
              <w:rPr>
                <w:rFonts w:ascii="宋体" w:hAnsi="宋体"/>
                <w:color w:val="auto"/>
                <w:szCs w:val="21"/>
                <w:highlight w:val="none"/>
              </w:rPr>
            </w:pPr>
          </w:p>
        </w:tc>
      </w:tr>
    </w:tbl>
    <w:p w14:paraId="28552D5C">
      <w:pPr>
        <w:spacing w:line="360" w:lineRule="auto"/>
        <w:rPr>
          <w:rFonts w:ascii="宋体" w:hAnsi="宋体"/>
          <w:color w:val="auto"/>
          <w:sz w:val="24"/>
          <w:szCs w:val="24"/>
          <w:highlight w:val="none"/>
        </w:rPr>
      </w:pPr>
    </w:p>
    <w:p w14:paraId="189891D1">
      <w:pPr>
        <w:spacing w:line="360" w:lineRule="auto"/>
        <w:rPr>
          <w:rFonts w:ascii="宋体" w:hAnsi="宋体"/>
          <w:color w:val="auto"/>
          <w:sz w:val="24"/>
          <w:szCs w:val="24"/>
          <w:highlight w:val="none"/>
        </w:rPr>
      </w:pPr>
      <w:r>
        <w:rPr>
          <w:rFonts w:hint="eastAsia" w:ascii="宋体" w:hAnsi="宋体"/>
          <w:color w:val="auto"/>
          <w:sz w:val="24"/>
          <w:szCs w:val="24"/>
          <w:highlight w:val="none"/>
        </w:rPr>
        <w:t>注：1、按照基本技术要求详细填列。</w:t>
      </w:r>
    </w:p>
    <w:p w14:paraId="3749B810">
      <w:pPr>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2、行数不够，可自行添加。</w:t>
      </w:r>
    </w:p>
    <w:p w14:paraId="79C50B03">
      <w:pPr>
        <w:spacing w:line="360" w:lineRule="auto"/>
        <w:jc w:val="center"/>
        <w:rPr>
          <w:rFonts w:ascii="宋体" w:hAnsi="宋体"/>
          <w:b/>
          <w:color w:val="auto"/>
          <w:sz w:val="36"/>
          <w:highlight w:val="none"/>
        </w:rPr>
      </w:pPr>
    </w:p>
    <w:p w14:paraId="09224235">
      <w:pPr>
        <w:spacing w:line="360" w:lineRule="auto"/>
        <w:jc w:val="center"/>
        <w:rPr>
          <w:rFonts w:ascii="宋体" w:hAnsi="宋体"/>
          <w:b/>
          <w:color w:val="auto"/>
          <w:sz w:val="36"/>
          <w:highlight w:val="none"/>
        </w:rPr>
      </w:pPr>
    </w:p>
    <w:p w14:paraId="481A508A">
      <w:pPr>
        <w:spacing w:line="360" w:lineRule="auto"/>
        <w:rPr>
          <w:rFonts w:ascii="宋体" w:hAnsi="宋体"/>
          <w:color w:val="auto"/>
          <w:sz w:val="32"/>
          <w:highlight w:val="none"/>
        </w:rPr>
      </w:pPr>
    </w:p>
    <w:p w14:paraId="3A2086CA">
      <w:pPr>
        <w:spacing w:line="360" w:lineRule="auto"/>
        <w:rPr>
          <w:rFonts w:ascii="宋体" w:hAnsi="宋体"/>
          <w:color w:val="auto"/>
          <w:sz w:val="32"/>
          <w:highlight w:val="none"/>
        </w:rPr>
      </w:pPr>
      <w:r>
        <w:rPr>
          <w:rFonts w:hint="eastAsia" w:ascii="宋体" w:hAnsi="宋体"/>
          <w:color w:val="auto"/>
          <w:sz w:val="32"/>
          <w:highlight w:val="none"/>
        </w:rPr>
        <w:br w:type="page"/>
      </w:r>
    </w:p>
    <w:p w14:paraId="62CC866F">
      <w:pPr>
        <w:pStyle w:val="3"/>
        <w:numPr>
          <w:ilvl w:val="0"/>
          <w:numId w:val="7"/>
        </w:numPr>
        <w:spacing w:line="360" w:lineRule="auto"/>
        <w:rPr>
          <w:rFonts w:ascii="宋体" w:hAnsi="宋体" w:eastAsia="宋体"/>
          <w:color w:val="auto"/>
          <w:sz w:val="32"/>
          <w:highlight w:val="none"/>
        </w:rPr>
      </w:pPr>
      <w:bookmarkStart w:id="63" w:name="_Hlt26955054"/>
      <w:bookmarkEnd w:id="63"/>
      <w:r>
        <w:rPr>
          <w:rFonts w:hint="eastAsia" w:ascii="宋体" w:hAnsi="宋体" w:eastAsia="宋体"/>
          <w:color w:val="auto"/>
          <w:sz w:val="32"/>
          <w:highlight w:val="none"/>
        </w:rPr>
        <w:t>商务条款响应及偏离表</w:t>
      </w:r>
    </w:p>
    <w:p w14:paraId="1CC02545">
      <w:pPr>
        <w:spacing w:line="360" w:lineRule="auto"/>
        <w:ind w:firstLine="480"/>
        <w:rPr>
          <w:rFonts w:ascii="宋体" w:hAnsi="宋体"/>
          <w:color w:val="auto"/>
          <w:szCs w:val="21"/>
          <w:highlight w:val="none"/>
        </w:rPr>
      </w:pPr>
      <w:r>
        <w:rPr>
          <w:rFonts w:ascii="宋体" w:hAnsi="宋体"/>
          <w:color w:val="auto"/>
          <w:szCs w:val="21"/>
          <w:highlight w:val="none"/>
        </w:rPr>
        <w:t>投标人全称（加盖公章）：</w:t>
      </w:r>
    </w:p>
    <w:p w14:paraId="05AD8140">
      <w:pPr>
        <w:spacing w:line="360" w:lineRule="auto"/>
        <w:ind w:firstLine="480"/>
        <w:rPr>
          <w:rFonts w:ascii="宋体" w:hAnsi="宋体"/>
          <w:color w:val="auto"/>
          <w:szCs w:val="21"/>
          <w:highlight w:val="none"/>
        </w:rPr>
      </w:pPr>
      <w:r>
        <w:rPr>
          <w:rFonts w:hint="eastAsia" w:ascii="宋体" w:hAnsi="宋体"/>
          <w:color w:val="auto"/>
          <w:szCs w:val="21"/>
          <w:highlight w:val="none"/>
        </w:rPr>
        <w:t>项目名称：</w:t>
      </w:r>
    </w:p>
    <w:p w14:paraId="1F0E80BA">
      <w:pPr>
        <w:spacing w:line="360" w:lineRule="auto"/>
        <w:ind w:firstLine="480"/>
        <w:rPr>
          <w:rFonts w:ascii="宋体" w:hAnsi="宋体"/>
          <w:color w:val="auto"/>
          <w:szCs w:val="21"/>
          <w:highlight w:val="none"/>
        </w:rPr>
      </w:pPr>
      <w:r>
        <w:rPr>
          <w:rFonts w:hint="eastAsia" w:ascii="宋体" w:hAnsi="宋体"/>
          <w:color w:val="auto"/>
          <w:szCs w:val="21"/>
          <w:highlight w:val="none"/>
        </w:rPr>
        <w:t>项目编号：</w:t>
      </w:r>
    </w:p>
    <w:p w14:paraId="767E0110">
      <w:pPr>
        <w:rPr>
          <w:rFonts w:ascii="宋体" w:hAnsi="宋体"/>
          <w:color w:val="auto"/>
          <w:highlight w:val="none"/>
        </w:rPr>
      </w:pPr>
    </w:p>
    <w:tbl>
      <w:tblPr>
        <w:tblStyle w:val="21"/>
        <w:tblW w:w="934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194"/>
        <w:gridCol w:w="2872"/>
        <w:gridCol w:w="1259"/>
        <w:gridCol w:w="3018"/>
      </w:tblGrid>
      <w:tr w14:paraId="5015AB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jc w:val="center"/>
        </w:trPr>
        <w:tc>
          <w:tcPr>
            <w:tcW w:w="2194" w:type="dxa"/>
            <w:tcBorders>
              <w:top w:val="single" w:color="auto" w:sz="4" w:space="0"/>
              <w:left w:val="single" w:color="auto" w:sz="4" w:space="0"/>
              <w:bottom w:val="single" w:color="auto" w:sz="4" w:space="0"/>
              <w:right w:val="single" w:color="auto" w:sz="4" w:space="0"/>
            </w:tcBorders>
          </w:tcPr>
          <w:p w14:paraId="41A4D9F7">
            <w:pPr>
              <w:adjustRightInd w:val="0"/>
              <w:snapToGrid w:val="0"/>
              <w:spacing w:before="156" w:beforeLines="50" w:after="200" w:line="440" w:lineRule="exact"/>
              <w:jc w:val="center"/>
              <w:rPr>
                <w:rFonts w:ascii="宋体" w:hAnsi="宋体"/>
                <w:color w:val="auto"/>
                <w:szCs w:val="21"/>
                <w:highlight w:val="none"/>
              </w:rPr>
            </w:pPr>
            <w:bookmarkStart w:id="64" w:name="_Hlt26580838"/>
            <w:bookmarkEnd w:id="64"/>
            <w:bookmarkStart w:id="65" w:name="_Hlt24879081"/>
            <w:bookmarkEnd w:id="65"/>
            <w:bookmarkStart w:id="66" w:name="_Hlt26782999"/>
            <w:bookmarkEnd w:id="66"/>
            <w:bookmarkStart w:id="67" w:name="_Hlt26671343"/>
            <w:bookmarkEnd w:id="67"/>
            <w:bookmarkStart w:id="68" w:name="_Hlt26955056"/>
            <w:bookmarkEnd w:id="68"/>
            <w:bookmarkStart w:id="69" w:name="_Hlt26671372"/>
            <w:bookmarkEnd w:id="69"/>
            <w:bookmarkStart w:id="70" w:name="_Hlt26609391"/>
            <w:bookmarkEnd w:id="70"/>
            <w:bookmarkStart w:id="71" w:name="_Hlt26955064"/>
            <w:bookmarkEnd w:id="71"/>
            <w:r>
              <w:rPr>
                <w:rFonts w:hint="eastAsia" w:ascii="宋体" w:hAnsi="宋体"/>
                <w:color w:val="auto"/>
                <w:szCs w:val="21"/>
                <w:highlight w:val="none"/>
              </w:rPr>
              <w:t>项目</w:t>
            </w:r>
          </w:p>
        </w:tc>
        <w:tc>
          <w:tcPr>
            <w:tcW w:w="2872" w:type="dxa"/>
            <w:tcBorders>
              <w:top w:val="single" w:color="auto" w:sz="4" w:space="0"/>
              <w:left w:val="single" w:color="auto" w:sz="4" w:space="0"/>
              <w:bottom w:val="single" w:color="auto" w:sz="4" w:space="0"/>
              <w:right w:val="single" w:color="auto" w:sz="4" w:space="0"/>
            </w:tcBorders>
          </w:tcPr>
          <w:p w14:paraId="1DADD88F">
            <w:pPr>
              <w:adjustRightInd w:val="0"/>
              <w:snapToGrid w:val="0"/>
              <w:spacing w:before="156" w:beforeLines="50" w:after="200" w:line="440" w:lineRule="exact"/>
              <w:jc w:val="center"/>
              <w:rPr>
                <w:rFonts w:ascii="宋体" w:hAnsi="宋体"/>
                <w:color w:val="auto"/>
                <w:szCs w:val="21"/>
                <w:highlight w:val="none"/>
              </w:rPr>
            </w:pPr>
            <w:r>
              <w:rPr>
                <w:rFonts w:hint="eastAsia" w:ascii="宋体" w:hAnsi="宋体"/>
                <w:color w:val="auto"/>
                <w:szCs w:val="21"/>
                <w:highlight w:val="none"/>
              </w:rPr>
              <w:t>招标文件要求</w:t>
            </w:r>
          </w:p>
        </w:tc>
        <w:tc>
          <w:tcPr>
            <w:tcW w:w="1259" w:type="dxa"/>
            <w:tcBorders>
              <w:top w:val="single" w:color="auto" w:sz="4" w:space="0"/>
              <w:left w:val="single" w:color="auto" w:sz="4" w:space="0"/>
              <w:bottom w:val="single" w:color="auto" w:sz="4" w:space="0"/>
              <w:right w:val="single" w:color="auto" w:sz="4" w:space="0"/>
            </w:tcBorders>
          </w:tcPr>
          <w:p w14:paraId="4458203B">
            <w:pPr>
              <w:adjustRightInd w:val="0"/>
              <w:snapToGrid w:val="0"/>
              <w:spacing w:before="156" w:beforeLines="50" w:after="200" w:line="440" w:lineRule="exact"/>
              <w:jc w:val="center"/>
              <w:rPr>
                <w:rFonts w:ascii="宋体" w:hAnsi="宋体"/>
                <w:color w:val="auto"/>
                <w:szCs w:val="21"/>
                <w:highlight w:val="none"/>
              </w:rPr>
            </w:pPr>
            <w:r>
              <w:rPr>
                <w:rFonts w:hint="eastAsia" w:ascii="宋体" w:hAnsi="宋体"/>
                <w:color w:val="auto"/>
                <w:szCs w:val="21"/>
                <w:highlight w:val="none"/>
              </w:rPr>
              <w:t>是否响应</w:t>
            </w:r>
          </w:p>
        </w:tc>
        <w:tc>
          <w:tcPr>
            <w:tcW w:w="3018" w:type="dxa"/>
            <w:tcBorders>
              <w:top w:val="single" w:color="auto" w:sz="4" w:space="0"/>
              <w:left w:val="single" w:color="auto" w:sz="4" w:space="0"/>
              <w:bottom w:val="single" w:color="auto" w:sz="4" w:space="0"/>
              <w:right w:val="single" w:color="auto" w:sz="4" w:space="0"/>
            </w:tcBorders>
          </w:tcPr>
          <w:p w14:paraId="282AFCA1">
            <w:pPr>
              <w:adjustRightInd w:val="0"/>
              <w:snapToGrid w:val="0"/>
              <w:spacing w:before="156" w:beforeLines="50" w:after="200" w:line="440" w:lineRule="exact"/>
              <w:jc w:val="center"/>
              <w:rPr>
                <w:rFonts w:ascii="宋体" w:hAnsi="宋体"/>
                <w:color w:val="auto"/>
                <w:szCs w:val="21"/>
                <w:highlight w:val="none"/>
              </w:rPr>
            </w:pPr>
            <w:r>
              <w:rPr>
                <w:rFonts w:hint="eastAsia" w:ascii="宋体" w:hAnsi="宋体"/>
                <w:color w:val="auto"/>
                <w:szCs w:val="21"/>
                <w:highlight w:val="none"/>
              </w:rPr>
              <w:t>供应商的承诺或说明</w:t>
            </w:r>
          </w:p>
        </w:tc>
      </w:tr>
      <w:tr w14:paraId="2DF297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jc w:val="center"/>
        </w:trPr>
        <w:tc>
          <w:tcPr>
            <w:tcW w:w="2194" w:type="dxa"/>
            <w:tcBorders>
              <w:top w:val="single" w:color="auto" w:sz="4" w:space="0"/>
              <w:left w:val="single" w:color="auto" w:sz="4" w:space="0"/>
              <w:bottom w:val="single" w:color="auto" w:sz="4" w:space="0"/>
              <w:right w:val="single" w:color="auto" w:sz="4" w:space="0"/>
            </w:tcBorders>
          </w:tcPr>
          <w:p w14:paraId="50AE370E">
            <w:pPr>
              <w:adjustRightInd w:val="0"/>
              <w:snapToGrid w:val="0"/>
              <w:spacing w:before="156" w:beforeLines="50" w:after="200" w:line="440" w:lineRule="exact"/>
              <w:jc w:val="center"/>
              <w:rPr>
                <w:rFonts w:ascii="宋体" w:hAnsi="宋体"/>
                <w:color w:val="auto"/>
                <w:szCs w:val="21"/>
                <w:highlight w:val="none"/>
              </w:rPr>
            </w:pPr>
            <w:r>
              <w:rPr>
                <w:rFonts w:hint="eastAsia" w:ascii="宋体" w:hAnsi="宋体"/>
                <w:color w:val="auto"/>
                <w:szCs w:val="21"/>
                <w:highlight w:val="none"/>
              </w:rPr>
              <w:t>质保期</w:t>
            </w:r>
          </w:p>
        </w:tc>
        <w:tc>
          <w:tcPr>
            <w:tcW w:w="2872" w:type="dxa"/>
            <w:tcBorders>
              <w:top w:val="single" w:color="auto" w:sz="4" w:space="0"/>
              <w:left w:val="single" w:color="auto" w:sz="4" w:space="0"/>
              <w:bottom w:val="single" w:color="auto" w:sz="4" w:space="0"/>
              <w:right w:val="single" w:color="auto" w:sz="4" w:space="0"/>
            </w:tcBorders>
          </w:tcPr>
          <w:p w14:paraId="1F1757E8">
            <w:pPr>
              <w:adjustRightInd w:val="0"/>
              <w:snapToGrid w:val="0"/>
              <w:spacing w:before="156" w:beforeLines="50" w:after="200" w:line="440" w:lineRule="exact"/>
              <w:jc w:val="center"/>
              <w:rPr>
                <w:rFonts w:ascii="宋体" w:hAnsi="宋体"/>
                <w:color w:val="auto"/>
                <w:szCs w:val="21"/>
                <w:highlight w:val="none"/>
              </w:rPr>
            </w:pPr>
          </w:p>
        </w:tc>
        <w:tc>
          <w:tcPr>
            <w:tcW w:w="1259" w:type="dxa"/>
            <w:tcBorders>
              <w:top w:val="single" w:color="auto" w:sz="4" w:space="0"/>
              <w:left w:val="single" w:color="auto" w:sz="4" w:space="0"/>
              <w:bottom w:val="single" w:color="auto" w:sz="4" w:space="0"/>
              <w:right w:val="single" w:color="auto" w:sz="4" w:space="0"/>
            </w:tcBorders>
          </w:tcPr>
          <w:p w14:paraId="5EDCD32A">
            <w:pPr>
              <w:adjustRightInd w:val="0"/>
              <w:snapToGrid w:val="0"/>
              <w:spacing w:before="156" w:beforeLines="50" w:after="200" w:line="440" w:lineRule="exact"/>
              <w:jc w:val="center"/>
              <w:rPr>
                <w:rFonts w:ascii="宋体" w:hAnsi="宋体"/>
                <w:color w:val="auto"/>
                <w:szCs w:val="21"/>
                <w:highlight w:val="none"/>
              </w:rPr>
            </w:pPr>
          </w:p>
        </w:tc>
        <w:tc>
          <w:tcPr>
            <w:tcW w:w="3018" w:type="dxa"/>
            <w:tcBorders>
              <w:top w:val="single" w:color="auto" w:sz="4" w:space="0"/>
              <w:left w:val="single" w:color="auto" w:sz="4" w:space="0"/>
              <w:bottom w:val="single" w:color="auto" w:sz="4" w:space="0"/>
              <w:right w:val="single" w:color="auto" w:sz="4" w:space="0"/>
            </w:tcBorders>
          </w:tcPr>
          <w:p w14:paraId="79E43D65">
            <w:pPr>
              <w:adjustRightInd w:val="0"/>
              <w:snapToGrid w:val="0"/>
              <w:spacing w:before="156" w:beforeLines="50" w:after="200" w:line="440" w:lineRule="exact"/>
              <w:jc w:val="center"/>
              <w:rPr>
                <w:rFonts w:ascii="宋体" w:hAnsi="宋体"/>
                <w:color w:val="auto"/>
                <w:szCs w:val="21"/>
                <w:highlight w:val="none"/>
              </w:rPr>
            </w:pPr>
          </w:p>
        </w:tc>
      </w:tr>
      <w:tr w14:paraId="1E5A52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jc w:val="center"/>
        </w:trPr>
        <w:tc>
          <w:tcPr>
            <w:tcW w:w="2194" w:type="dxa"/>
            <w:tcBorders>
              <w:top w:val="single" w:color="auto" w:sz="4" w:space="0"/>
              <w:left w:val="single" w:color="auto" w:sz="4" w:space="0"/>
              <w:bottom w:val="single" w:color="auto" w:sz="4" w:space="0"/>
              <w:right w:val="single" w:color="auto" w:sz="4" w:space="0"/>
            </w:tcBorders>
          </w:tcPr>
          <w:p w14:paraId="225D410F">
            <w:pPr>
              <w:adjustRightInd w:val="0"/>
              <w:snapToGrid w:val="0"/>
              <w:spacing w:before="156" w:beforeLines="50" w:after="200" w:line="440" w:lineRule="exact"/>
              <w:jc w:val="center"/>
              <w:rPr>
                <w:rFonts w:ascii="宋体" w:hAnsi="宋体"/>
                <w:color w:val="auto"/>
                <w:szCs w:val="21"/>
                <w:highlight w:val="none"/>
              </w:rPr>
            </w:pPr>
            <w:r>
              <w:rPr>
                <w:rFonts w:hint="eastAsia" w:ascii="宋体" w:hAnsi="宋体"/>
                <w:color w:val="auto"/>
                <w:szCs w:val="21"/>
                <w:highlight w:val="none"/>
              </w:rPr>
              <w:t>售后技术服务要求</w:t>
            </w:r>
          </w:p>
        </w:tc>
        <w:tc>
          <w:tcPr>
            <w:tcW w:w="2872" w:type="dxa"/>
            <w:tcBorders>
              <w:top w:val="single" w:color="auto" w:sz="4" w:space="0"/>
              <w:left w:val="single" w:color="auto" w:sz="4" w:space="0"/>
              <w:bottom w:val="single" w:color="auto" w:sz="4" w:space="0"/>
              <w:right w:val="single" w:color="auto" w:sz="4" w:space="0"/>
            </w:tcBorders>
          </w:tcPr>
          <w:p w14:paraId="37A23E75">
            <w:pPr>
              <w:adjustRightInd w:val="0"/>
              <w:snapToGrid w:val="0"/>
              <w:spacing w:before="156" w:beforeLines="50" w:after="200" w:line="440" w:lineRule="exact"/>
              <w:jc w:val="center"/>
              <w:rPr>
                <w:rFonts w:ascii="宋体" w:hAnsi="宋体"/>
                <w:color w:val="auto"/>
                <w:szCs w:val="21"/>
                <w:highlight w:val="none"/>
              </w:rPr>
            </w:pPr>
          </w:p>
        </w:tc>
        <w:tc>
          <w:tcPr>
            <w:tcW w:w="1259" w:type="dxa"/>
            <w:tcBorders>
              <w:top w:val="single" w:color="auto" w:sz="4" w:space="0"/>
              <w:left w:val="single" w:color="auto" w:sz="4" w:space="0"/>
              <w:bottom w:val="single" w:color="auto" w:sz="4" w:space="0"/>
              <w:right w:val="single" w:color="auto" w:sz="4" w:space="0"/>
            </w:tcBorders>
          </w:tcPr>
          <w:p w14:paraId="0CADFACE">
            <w:pPr>
              <w:adjustRightInd w:val="0"/>
              <w:snapToGrid w:val="0"/>
              <w:spacing w:before="156" w:beforeLines="50" w:after="200" w:line="440" w:lineRule="exact"/>
              <w:jc w:val="center"/>
              <w:rPr>
                <w:rFonts w:ascii="宋体" w:hAnsi="宋体"/>
                <w:color w:val="auto"/>
                <w:szCs w:val="21"/>
                <w:highlight w:val="none"/>
              </w:rPr>
            </w:pPr>
          </w:p>
        </w:tc>
        <w:tc>
          <w:tcPr>
            <w:tcW w:w="3018" w:type="dxa"/>
            <w:tcBorders>
              <w:top w:val="single" w:color="auto" w:sz="4" w:space="0"/>
              <w:left w:val="single" w:color="auto" w:sz="4" w:space="0"/>
              <w:bottom w:val="single" w:color="auto" w:sz="4" w:space="0"/>
              <w:right w:val="single" w:color="auto" w:sz="4" w:space="0"/>
            </w:tcBorders>
          </w:tcPr>
          <w:p w14:paraId="6DA54E9F">
            <w:pPr>
              <w:adjustRightInd w:val="0"/>
              <w:snapToGrid w:val="0"/>
              <w:spacing w:before="156" w:beforeLines="50" w:after="200" w:line="440" w:lineRule="exact"/>
              <w:jc w:val="center"/>
              <w:rPr>
                <w:rFonts w:ascii="宋体" w:hAnsi="宋体"/>
                <w:color w:val="auto"/>
                <w:szCs w:val="21"/>
                <w:highlight w:val="none"/>
              </w:rPr>
            </w:pPr>
          </w:p>
        </w:tc>
      </w:tr>
      <w:tr w14:paraId="5DE6CC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2194" w:type="dxa"/>
            <w:tcBorders>
              <w:top w:val="single" w:color="auto" w:sz="4" w:space="0"/>
              <w:left w:val="single" w:color="auto" w:sz="4" w:space="0"/>
              <w:bottom w:val="single" w:color="auto" w:sz="4" w:space="0"/>
              <w:right w:val="single" w:color="auto" w:sz="4" w:space="0"/>
            </w:tcBorders>
          </w:tcPr>
          <w:p w14:paraId="52020BEF">
            <w:pPr>
              <w:adjustRightInd w:val="0"/>
              <w:snapToGrid w:val="0"/>
              <w:spacing w:before="156" w:beforeLines="50" w:after="200" w:line="440" w:lineRule="exact"/>
              <w:jc w:val="center"/>
              <w:rPr>
                <w:rFonts w:ascii="宋体" w:hAnsi="宋体"/>
                <w:color w:val="auto"/>
                <w:szCs w:val="21"/>
                <w:highlight w:val="none"/>
              </w:rPr>
            </w:pPr>
            <w:r>
              <w:rPr>
                <w:rFonts w:hint="eastAsia" w:ascii="宋体" w:hAnsi="宋体"/>
                <w:color w:val="auto"/>
                <w:szCs w:val="21"/>
                <w:highlight w:val="none"/>
              </w:rPr>
              <w:t>交货时间</w:t>
            </w:r>
          </w:p>
        </w:tc>
        <w:tc>
          <w:tcPr>
            <w:tcW w:w="2872" w:type="dxa"/>
            <w:tcBorders>
              <w:top w:val="single" w:color="auto" w:sz="4" w:space="0"/>
              <w:left w:val="single" w:color="auto" w:sz="4" w:space="0"/>
              <w:bottom w:val="single" w:color="auto" w:sz="4" w:space="0"/>
              <w:right w:val="single" w:color="auto" w:sz="4" w:space="0"/>
            </w:tcBorders>
          </w:tcPr>
          <w:p w14:paraId="0E22C251">
            <w:pPr>
              <w:adjustRightInd w:val="0"/>
              <w:snapToGrid w:val="0"/>
              <w:spacing w:before="156" w:beforeLines="50" w:after="200" w:line="440" w:lineRule="exact"/>
              <w:jc w:val="center"/>
              <w:rPr>
                <w:rFonts w:ascii="宋体" w:hAnsi="宋体"/>
                <w:color w:val="auto"/>
                <w:szCs w:val="21"/>
                <w:highlight w:val="none"/>
              </w:rPr>
            </w:pPr>
            <w:r>
              <w:rPr>
                <w:rFonts w:hint="eastAsia" w:ascii="宋体" w:hAnsi="宋体"/>
                <w:color w:val="auto"/>
                <w:szCs w:val="21"/>
                <w:highlight w:val="none"/>
              </w:rPr>
              <w:t>合同签订后</w:t>
            </w:r>
            <w:r>
              <w:rPr>
                <w:rFonts w:hint="eastAsia" w:ascii="宋体" w:hAnsi="宋体"/>
                <w:color w:val="auto"/>
                <w:szCs w:val="21"/>
                <w:highlight w:val="none"/>
                <w:u w:val="single"/>
              </w:rPr>
              <w:t xml:space="preserve">     </w:t>
            </w:r>
            <w:r>
              <w:rPr>
                <w:rFonts w:hint="eastAsia" w:ascii="宋体" w:hAnsi="宋体"/>
                <w:color w:val="auto"/>
                <w:szCs w:val="21"/>
                <w:highlight w:val="none"/>
              </w:rPr>
              <w:t>天内</w:t>
            </w:r>
          </w:p>
        </w:tc>
        <w:tc>
          <w:tcPr>
            <w:tcW w:w="1259" w:type="dxa"/>
            <w:tcBorders>
              <w:top w:val="single" w:color="auto" w:sz="4" w:space="0"/>
              <w:left w:val="single" w:color="auto" w:sz="4" w:space="0"/>
              <w:bottom w:val="single" w:color="auto" w:sz="4" w:space="0"/>
              <w:right w:val="single" w:color="auto" w:sz="4" w:space="0"/>
            </w:tcBorders>
          </w:tcPr>
          <w:p w14:paraId="79D0D094">
            <w:pPr>
              <w:adjustRightInd w:val="0"/>
              <w:snapToGrid w:val="0"/>
              <w:spacing w:before="156" w:beforeLines="50" w:after="200" w:line="440" w:lineRule="exact"/>
              <w:ind w:left="43"/>
              <w:jc w:val="center"/>
              <w:rPr>
                <w:rFonts w:ascii="宋体" w:hAnsi="宋体"/>
                <w:color w:val="auto"/>
                <w:szCs w:val="21"/>
                <w:highlight w:val="none"/>
              </w:rPr>
            </w:pPr>
          </w:p>
        </w:tc>
        <w:tc>
          <w:tcPr>
            <w:tcW w:w="3018" w:type="dxa"/>
            <w:tcBorders>
              <w:top w:val="single" w:color="auto" w:sz="4" w:space="0"/>
              <w:left w:val="single" w:color="auto" w:sz="4" w:space="0"/>
              <w:bottom w:val="single" w:color="auto" w:sz="4" w:space="0"/>
              <w:right w:val="single" w:color="auto" w:sz="4" w:space="0"/>
            </w:tcBorders>
          </w:tcPr>
          <w:p w14:paraId="18CFA868">
            <w:pPr>
              <w:adjustRightInd w:val="0"/>
              <w:snapToGrid w:val="0"/>
              <w:spacing w:before="156" w:beforeLines="50" w:after="200" w:line="440" w:lineRule="exact"/>
              <w:ind w:left="43"/>
              <w:jc w:val="center"/>
              <w:rPr>
                <w:rFonts w:ascii="宋体" w:hAnsi="宋体"/>
                <w:color w:val="auto"/>
                <w:szCs w:val="21"/>
                <w:highlight w:val="none"/>
              </w:rPr>
            </w:pPr>
          </w:p>
        </w:tc>
      </w:tr>
      <w:tr w14:paraId="00484D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8" w:hRule="atLeast"/>
          <w:jc w:val="center"/>
        </w:trPr>
        <w:tc>
          <w:tcPr>
            <w:tcW w:w="2194" w:type="dxa"/>
            <w:tcBorders>
              <w:top w:val="single" w:color="auto" w:sz="4" w:space="0"/>
              <w:left w:val="single" w:color="auto" w:sz="4" w:space="0"/>
              <w:bottom w:val="single" w:color="auto" w:sz="4" w:space="0"/>
              <w:right w:val="single" w:color="auto" w:sz="4" w:space="0"/>
            </w:tcBorders>
            <w:vAlign w:val="center"/>
          </w:tcPr>
          <w:p w14:paraId="689264CC">
            <w:pPr>
              <w:adjustRightInd w:val="0"/>
              <w:snapToGrid w:val="0"/>
              <w:spacing w:before="156" w:beforeLines="50" w:after="200" w:line="440" w:lineRule="exact"/>
              <w:jc w:val="center"/>
              <w:rPr>
                <w:rFonts w:ascii="宋体" w:hAnsi="宋体"/>
                <w:color w:val="auto"/>
                <w:szCs w:val="21"/>
                <w:highlight w:val="none"/>
              </w:rPr>
            </w:pPr>
            <w:r>
              <w:rPr>
                <w:rFonts w:hint="eastAsia" w:ascii="宋体" w:hAnsi="宋体"/>
                <w:color w:val="auto"/>
                <w:szCs w:val="21"/>
                <w:highlight w:val="none"/>
              </w:rPr>
              <w:t>交货方式</w:t>
            </w:r>
          </w:p>
        </w:tc>
        <w:tc>
          <w:tcPr>
            <w:tcW w:w="2872" w:type="dxa"/>
            <w:tcBorders>
              <w:top w:val="single" w:color="auto" w:sz="4" w:space="0"/>
              <w:left w:val="single" w:color="auto" w:sz="4" w:space="0"/>
              <w:bottom w:val="single" w:color="auto" w:sz="4" w:space="0"/>
              <w:right w:val="single" w:color="auto" w:sz="4" w:space="0"/>
            </w:tcBorders>
            <w:vAlign w:val="center"/>
          </w:tcPr>
          <w:p w14:paraId="1F9F7874">
            <w:pPr>
              <w:spacing w:before="156" w:beforeLines="50" w:line="440" w:lineRule="exact"/>
              <w:jc w:val="center"/>
              <w:rPr>
                <w:rFonts w:ascii="宋体" w:hAnsi="宋体"/>
                <w:color w:val="auto"/>
                <w:szCs w:val="21"/>
                <w:highlight w:val="none"/>
              </w:rPr>
            </w:pPr>
          </w:p>
          <w:p w14:paraId="5C76399F">
            <w:pPr>
              <w:adjustRightInd w:val="0"/>
              <w:snapToGrid w:val="0"/>
              <w:spacing w:before="156" w:beforeLines="50" w:after="200" w:line="440" w:lineRule="exact"/>
              <w:jc w:val="center"/>
              <w:rPr>
                <w:rFonts w:ascii="宋体" w:hAnsi="宋体"/>
                <w:color w:val="auto"/>
                <w:szCs w:val="21"/>
                <w:highlight w:val="none"/>
              </w:rPr>
            </w:pPr>
          </w:p>
        </w:tc>
        <w:tc>
          <w:tcPr>
            <w:tcW w:w="1259" w:type="dxa"/>
            <w:tcBorders>
              <w:top w:val="single" w:color="auto" w:sz="4" w:space="0"/>
              <w:left w:val="single" w:color="auto" w:sz="4" w:space="0"/>
              <w:bottom w:val="single" w:color="auto" w:sz="4" w:space="0"/>
              <w:right w:val="single" w:color="auto" w:sz="4" w:space="0"/>
            </w:tcBorders>
            <w:vAlign w:val="center"/>
          </w:tcPr>
          <w:p w14:paraId="1434AB4A">
            <w:pPr>
              <w:adjustRightInd w:val="0"/>
              <w:snapToGrid w:val="0"/>
              <w:spacing w:before="156" w:beforeLines="50" w:after="200" w:line="440" w:lineRule="exact"/>
              <w:ind w:left="43"/>
              <w:jc w:val="center"/>
              <w:rPr>
                <w:rFonts w:ascii="宋体" w:hAnsi="宋体"/>
                <w:color w:val="auto"/>
                <w:szCs w:val="21"/>
                <w:highlight w:val="none"/>
              </w:rPr>
            </w:pPr>
          </w:p>
        </w:tc>
        <w:tc>
          <w:tcPr>
            <w:tcW w:w="3018" w:type="dxa"/>
            <w:tcBorders>
              <w:top w:val="single" w:color="auto" w:sz="4" w:space="0"/>
              <w:left w:val="single" w:color="auto" w:sz="4" w:space="0"/>
              <w:bottom w:val="single" w:color="auto" w:sz="4" w:space="0"/>
              <w:right w:val="single" w:color="auto" w:sz="4" w:space="0"/>
            </w:tcBorders>
            <w:vAlign w:val="center"/>
          </w:tcPr>
          <w:p w14:paraId="732D936F">
            <w:pPr>
              <w:adjustRightInd w:val="0"/>
              <w:snapToGrid w:val="0"/>
              <w:spacing w:before="156" w:beforeLines="50" w:after="200" w:line="440" w:lineRule="exact"/>
              <w:ind w:left="43"/>
              <w:jc w:val="center"/>
              <w:rPr>
                <w:rFonts w:ascii="宋体" w:hAnsi="宋体"/>
                <w:color w:val="auto"/>
                <w:szCs w:val="21"/>
                <w:highlight w:val="none"/>
              </w:rPr>
            </w:pPr>
          </w:p>
        </w:tc>
      </w:tr>
      <w:tr w14:paraId="2A7122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0" w:hRule="atLeast"/>
          <w:jc w:val="center"/>
        </w:trPr>
        <w:tc>
          <w:tcPr>
            <w:tcW w:w="2194" w:type="dxa"/>
            <w:tcBorders>
              <w:top w:val="single" w:color="auto" w:sz="4" w:space="0"/>
              <w:left w:val="single" w:color="auto" w:sz="4" w:space="0"/>
              <w:bottom w:val="single" w:color="auto" w:sz="4" w:space="0"/>
              <w:right w:val="single" w:color="auto" w:sz="4" w:space="0"/>
            </w:tcBorders>
            <w:vAlign w:val="center"/>
          </w:tcPr>
          <w:p w14:paraId="4E889ADF">
            <w:pPr>
              <w:adjustRightInd w:val="0"/>
              <w:snapToGrid w:val="0"/>
              <w:spacing w:before="156" w:beforeLines="50" w:after="200" w:line="440" w:lineRule="exact"/>
              <w:jc w:val="center"/>
              <w:rPr>
                <w:rFonts w:ascii="宋体" w:hAnsi="宋体"/>
                <w:color w:val="auto"/>
                <w:szCs w:val="21"/>
                <w:highlight w:val="none"/>
              </w:rPr>
            </w:pPr>
            <w:r>
              <w:rPr>
                <w:rFonts w:hint="eastAsia" w:ascii="宋体" w:hAnsi="宋体"/>
                <w:color w:val="auto"/>
                <w:szCs w:val="21"/>
                <w:highlight w:val="none"/>
              </w:rPr>
              <w:t>交货地点</w:t>
            </w:r>
          </w:p>
        </w:tc>
        <w:tc>
          <w:tcPr>
            <w:tcW w:w="2872" w:type="dxa"/>
            <w:tcBorders>
              <w:top w:val="single" w:color="auto" w:sz="4" w:space="0"/>
              <w:left w:val="single" w:color="auto" w:sz="4" w:space="0"/>
              <w:bottom w:val="single" w:color="auto" w:sz="4" w:space="0"/>
              <w:right w:val="single" w:color="auto" w:sz="4" w:space="0"/>
            </w:tcBorders>
            <w:vAlign w:val="center"/>
          </w:tcPr>
          <w:p w14:paraId="3FC24D18">
            <w:pPr>
              <w:spacing w:before="156" w:beforeLines="50" w:line="440" w:lineRule="exact"/>
              <w:jc w:val="center"/>
              <w:rPr>
                <w:rFonts w:ascii="宋体" w:hAnsi="宋体"/>
                <w:color w:val="auto"/>
                <w:szCs w:val="21"/>
                <w:highlight w:val="none"/>
              </w:rPr>
            </w:pPr>
          </w:p>
          <w:p w14:paraId="74101550">
            <w:pPr>
              <w:adjustRightInd w:val="0"/>
              <w:snapToGrid w:val="0"/>
              <w:spacing w:before="156" w:beforeLines="50" w:after="200" w:line="440" w:lineRule="exact"/>
              <w:jc w:val="center"/>
              <w:rPr>
                <w:rFonts w:ascii="宋体" w:hAnsi="宋体"/>
                <w:color w:val="auto"/>
                <w:szCs w:val="21"/>
                <w:highlight w:val="none"/>
              </w:rPr>
            </w:pPr>
          </w:p>
        </w:tc>
        <w:tc>
          <w:tcPr>
            <w:tcW w:w="1259" w:type="dxa"/>
            <w:tcBorders>
              <w:top w:val="single" w:color="auto" w:sz="4" w:space="0"/>
              <w:left w:val="single" w:color="auto" w:sz="4" w:space="0"/>
              <w:bottom w:val="single" w:color="auto" w:sz="4" w:space="0"/>
              <w:right w:val="single" w:color="auto" w:sz="4" w:space="0"/>
            </w:tcBorders>
            <w:vAlign w:val="center"/>
          </w:tcPr>
          <w:p w14:paraId="5E819A23">
            <w:pPr>
              <w:adjustRightInd w:val="0"/>
              <w:snapToGrid w:val="0"/>
              <w:spacing w:before="156" w:beforeLines="50" w:after="200" w:line="440" w:lineRule="exact"/>
              <w:ind w:left="43"/>
              <w:jc w:val="center"/>
              <w:rPr>
                <w:rFonts w:ascii="宋体" w:hAnsi="宋体"/>
                <w:color w:val="auto"/>
                <w:szCs w:val="21"/>
                <w:highlight w:val="none"/>
              </w:rPr>
            </w:pPr>
          </w:p>
        </w:tc>
        <w:tc>
          <w:tcPr>
            <w:tcW w:w="3018" w:type="dxa"/>
            <w:tcBorders>
              <w:top w:val="single" w:color="auto" w:sz="4" w:space="0"/>
              <w:left w:val="single" w:color="auto" w:sz="4" w:space="0"/>
              <w:bottom w:val="single" w:color="auto" w:sz="4" w:space="0"/>
              <w:right w:val="single" w:color="auto" w:sz="4" w:space="0"/>
            </w:tcBorders>
            <w:vAlign w:val="center"/>
          </w:tcPr>
          <w:p w14:paraId="0C786930">
            <w:pPr>
              <w:adjustRightInd w:val="0"/>
              <w:snapToGrid w:val="0"/>
              <w:spacing w:before="156" w:beforeLines="50" w:after="200" w:line="440" w:lineRule="exact"/>
              <w:ind w:left="43"/>
              <w:jc w:val="center"/>
              <w:rPr>
                <w:rFonts w:ascii="宋体" w:hAnsi="宋体"/>
                <w:color w:val="auto"/>
                <w:szCs w:val="21"/>
                <w:highlight w:val="none"/>
              </w:rPr>
            </w:pPr>
          </w:p>
        </w:tc>
      </w:tr>
      <w:tr w14:paraId="5BEB0B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0" w:hRule="atLeast"/>
          <w:jc w:val="center"/>
        </w:trPr>
        <w:tc>
          <w:tcPr>
            <w:tcW w:w="2194" w:type="dxa"/>
            <w:tcBorders>
              <w:top w:val="single" w:color="auto" w:sz="4" w:space="0"/>
              <w:left w:val="single" w:color="auto" w:sz="4" w:space="0"/>
              <w:bottom w:val="single" w:color="auto" w:sz="4" w:space="0"/>
              <w:right w:val="single" w:color="auto" w:sz="4" w:space="0"/>
            </w:tcBorders>
          </w:tcPr>
          <w:p w14:paraId="2E0EAA82">
            <w:pPr>
              <w:adjustRightInd w:val="0"/>
              <w:snapToGrid w:val="0"/>
              <w:spacing w:before="156" w:beforeLines="50" w:after="200" w:line="440" w:lineRule="exact"/>
              <w:jc w:val="center"/>
              <w:rPr>
                <w:rFonts w:ascii="宋体" w:hAnsi="宋体"/>
                <w:color w:val="auto"/>
                <w:szCs w:val="21"/>
                <w:highlight w:val="none"/>
              </w:rPr>
            </w:pPr>
            <w:r>
              <w:rPr>
                <w:rFonts w:hint="eastAsia" w:ascii="宋体" w:hAnsi="宋体"/>
                <w:color w:val="auto"/>
                <w:szCs w:val="21"/>
                <w:highlight w:val="none"/>
              </w:rPr>
              <w:t>付款方式</w:t>
            </w:r>
          </w:p>
        </w:tc>
        <w:tc>
          <w:tcPr>
            <w:tcW w:w="2872" w:type="dxa"/>
            <w:tcBorders>
              <w:top w:val="single" w:color="auto" w:sz="4" w:space="0"/>
              <w:left w:val="single" w:color="auto" w:sz="4" w:space="0"/>
              <w:bottom w:val="single" w:color="auto" w:sz="4" w:space="0"/>
              <w:right w:val="single" w:color="auto" w:sz="4" w:space="0"/>
            </w:tcBorders>
          </w:tcPr>
          <w:p w14:paraId="3E1987C1">
            <w:pPr>
              <w:adjustRightInd w:val="0"/>
              <w:snapToGrid w:val="0"/>
              <w:spacing w:before="156" w:beforeLines="50" w:after="200" w:line="440" w:lineRule="exact"/>
              <w:jc w:val="center"/>
              <w:rPr>
                <w:rFonts w:ascii="宋体" w:hAnsi="宋体"/>
                <w:color w:val="auto"/>
                <w:sz w:val="24"/>
                <w:szCs w:val="20"/>
                <w:highlight w:val="none"/>
              </w:rPr>
            </w:pPr>
          </w:p>
        </w:tc>
        <w:tc>
          <w:tcPr>
            <w:tcW w:w="1259" w:type="dxa"/>
            <w:tcBorders>
              <w:top w:val="single" w:color="auto" w:sz="4" w:space="0"/>
              <w:left w:val="single" w:color="auto" w:sz="4" w:space="0"/>
              <w:bottom w:val="single" w:color="auto" w:sz="4" w:space="0"/>
              <w:right w:val="single" w:color="auto" w:sz="4" w:space="0"/>
            </w:tcBorders>
          </w:tcPr>
          <w:p w14:paraId="4724A9B5">
            <w:pPr>
              <w:adjustRightInd w:val="0"/>
              <w:snapToGrid w:val="0"/>
              <w:spacing w:before="156" w:beforeLines="50" w:after="200" w:line="440" w:lineRule="exact"/>
              <w:jc w:val="center"/>
              <w:rPr>
                <w:rFonts w:ascii="宋体" w:hAnsi="宋体"/>
                <w:color w:val="auto"/>
                <w:sz w:val="24"/>
                <w:szCs w:val="20"/>
                <w:highlight w:val="none"/>
              </w:rPr>
            </w:pPr>
          </w:p>
        </w:tc>
        <w:tc>
          <w:tcPr>
            <w:tcW w:w="3018" w:type="dxa"/>
            <w:tcBorders>
              <w:top w:val="single" w:color="auto" w:sz="4" w:space="0"/>
              <w:left w:val="single" w:color="auto" w:sz="4" w:space="0"/>
              <w:bottom w:val="single" w:color="auto" w:sz="4" w:space="0"/>
              <w:right w:val="single" w:color="auto" w:sz="4" w:space="0"/>
            </w:tcBorders>
          </w:tcPr>
          <w:p w14:paraId="3C1C318E">
            <w:pPr>
              <w:adjustRightInd w:val="0"/>
              <w:snapToGrid w:val="0"/>
              <w:spacing w:before="156" w:beforeLines="50" w:after="200" w:line="440" w:lineRule="exact"/>
              <w:jc w:val="center"/>
              <w:rPr>
                <w:rFonts w:ascii="宋体" w:hAnsi="宋体"/>
                <w:color w:val="auto"/>
                <w:sz w:val="24"/>
                <w:szCs w:val="20"/>
                <w:highlight w:val="none"/>
              </w:rPr>
            </w:pPr>
          </w:p>
        </w:tc>
      </w:tr>
      <w:tr w14:paraId="264979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194" w:type="dxa"/>
            <w:tcBorders>
              <w:top w:val="single" w:color="auto" w:sz="4" w:space="0"/>
              <w:left w:val="single" w:color="auto" w:sz="4" w:space="0"/>
              <w:bottom w:val="single" w:color="auto" w:sz="4" w:space="0"/>
              <w:right w:val="single" w:color="auto" w:sz="4" w:space="0"/>
            </w:tcBorders>
            <w:vAlign w:val="center"/>
          </w:tcPr>
          <w:p w14:paraId="0E44991C">
            <w:pPr>
              <w:adjustRightInd w:val="0"/>
              <w:snapToGrid w:val="0"/>
              <w:spacing w:before="156" w:beforeLines="50" w:after="200" w:line="440" w:lineRule="exact"/>
              <w:jc w:val="center"/>
              <w:rPr>
                <w:rFonts w:ascii="宋体" w:hAnsi="宋体"/>
                <w:color w:val="auto"/>
                <w:szCs w:val="21"/>
                <w:highlight w:val="none"/>
              </w:rPr>
            </w:pPr>
            <w:r>
              <w:rPr>
                <w:rFonts w:hint="eastAsia" w:ascii="宋体" w:hAnsi="宋体"/>
                <w:color w:val="auto"/>
                <w:szCs w:val="21"/>
                <w:highlight w:val="none"/>
              </w:rPr>
              <w:t>投标货币</w:t>
            </w:r>
          </w:p>
        </w:tc>
        <w:tc>
          <w:tcPr>
            <w:tcW w:w="2872" w:type="dxa"/>
            <w:tcBorders>
              <w:top w:val="single" w:color="auto" w:sz="4" w:space="0"/>
              <w:left w:val="single" w:color="auto" w:sz="4" w:space="0"/>
              <w:bottom w:val="single" w:color="auto" w:sz="4" w:space="0"/>
              <w:right w:val="single" w:color="auto" w:sz="4" w:space="0"/>
            </w:tcBorders>
            <w:vAlign w:val="center"/>
          </w:tcPr>
          <w:p w14:paraId="7A389450">
            <w:pPr>
              <w:spacing w:before="156" w:beforeLines="50" w:line="440" w:lineRule="exact"/>
              <w:jc w:val="center"/>
              <w:rPr>
                <w:rFonts w:ascii="宋体" w:hAnsi="宋体"/>
                <w:color w:val="auto"/>
                <w:sz w:val="24"/>
                <w:szCs w:val="20"/>
                <w:highlight w:val="none"/>
              </w:rPr>
            </w:pPr>
          </w:p>
          <w:p w14:paraId="328014D8">
            <w:pPr>
              <w:adjustRightInd w:val="0"/>
              <w:snapToGrid w:val="0"/>
              <w:spacing w:before="156" w:beforeLines="50" w:after="200" w:line="440" w:lineRule="exact"/>
              <w:jc w:val="center"/>
              <w:rPr>
                <w:rFonts w:ascii="宋体" w:hAnsi="宋体"/>
                <w:color w:val="auto"/>
                <w:sz w:val="24"/>
                <w:szCs w:val="20"/>
                <w:highlight w:val="none"/>
              </w:rPr>
            </w:pPr>
          </w:p>
        </w:tc>
        <w:tc>
          <w:tcPr>
            <w:tcW w:w="1259" w:type="dxa"/>
            <w:tcBorders>
              <w:top w:val="single" w:color="auto" w:sz="4" w:space="0"/>
              <w:left w:val="single" w:color="auto" w:sz="4" w:space="0"/>
              <w:bottom w:val="single" w:color="auto" w:sz="4" w:space="0"/>
              <w:right w:val="single" w:color="auto" w:sz="4" w:space="0"/>
            </w:tcBorders>
            <w:vAlign w:val="center"/>
          </w:tcPr>
          <w:p w14:paraId="6F9C08AD">
            <w:pPr>
              <w:adjustRightInd w:val="0"/>
              <w:snapToGrid w:val="0"/>
              <w:spacing w:before="156" w:beforeLines="50" w:after="200" w:line="440" w:lineRule="exact"/>
              <w:jc w:val="center"/>
              <w:rPr>
                <w:rFonts w:ascii="宋体" w:hAnsi="宋体"/>
                <w:color w:val="auto"/>
                <w:sz w:val="24"/>
                <w:szCs w:val="20"/>
                <w:highlight w:val="none"/>
              </w:rPr>
            </w:pPr>
          </w:p>
        </w:tc>
        <w:tc>
          <w:tcPr>
            <w:tcW w:w="3018" w:type="dxa"/>
            <w:tcBorders>
              <w:top w:val="single" w:color="auto" w:sz="4" w:space="0"/>
              <w:left w:val="single" w:color="auto" w:sz="4" w:space="0"/>
              <w:bottom w:val="single" w:color="auto" w:sz="4" w:space="0"/>
              <w:right w:val="single" w:color="auto" w:sz="4" w:space="0"/>
            </w:tcBorders>
            <w:vAlign w:val="center"/>
          </w:tcPr>
          <w:p w14:paraId="359ACD87">
            <w:pPr>
              <w:adjustRightInd w:val="0"/>
              <w:snapToGrid w:val="0"/>
              <w:spacing w:before="156" w:beforeLines="50" w:after="200" w:line="440" w:lineRule="exact"/>
              <w:jc w:val="center"/>
              <w:rPr>
                <w:rFonts w:ascii="宋体" w:hAnsi="宋体"/>
                <w:color w:val="auto"/>
                <w:sz w:val="24"/>
                <w:szCs w:val="20"/>
                <w:highlight w:val="none"/>
              </w:rPr>
            </w:pPr>
          </w:p>
        </w:tc>
      </w:tr>
      <w:tr w14:paraId="53865E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0" w:hRule="atLeast"/>
          <w:jc w:val="center"/>
        </w:trPr>
        <w:tc>
          <w:tcPr>
            <w:tcW w:w="2194" w:type="dxa"/>
            <w:tcBorders>
              <w:top w:val="single" w:color="auto" w:sz="4" w:space="0"/>
              <w:left w:val="single" w:color="auto" w:sz="4" w:space="0"/>
              <w:bottom w:val="single" w:color="auto" w:sz="4" w:space="0"/>
              <w:right w:val="single" w:color="auto" w:sz="4" w:space="0"/>
            </w:tcBorders>
          </w:tcPr>
          <w:p w14:paraId="4F11B962">
            <w:pPr>
              <w:adjustRightInd w:val="0"/>
              <w:snapToGrid w:val="0"/>
              <w:spacing w:before="156" w:beforeLines="50" w:after="200" w:line="440" w:lineRule="exact"/>
              <w:jc w:val="center"/>
              <w:rPr>
                <w:rFonts w:ascii="宋体" w:hAnsi="宋体"/>
                <w:color w:val="auto"/>
                <w:szCs w:val="21"/>
                <w:highlight w:val="none"/>
              </w:rPr>
            </w:pPr>
            <w:r>
              <w:rPr>
                <w:rFonts w:hint="eastAsia" w:ascii="宋体" w:hAnsi="宋体"/>
                <w:color w:val="auto"/>
                <w:szCs w:val="21"/>
                <w:highlight w:val="none"/>
              </w:rPr>
              <w:t>备品备件及耗材等要求</w:t>
            </w:r>
          </w:p>
        </w:tc>
        <w:tc>
          <w:tcPr>
            <w:tcW w:w="2872" w:type="dxa"/>
            <w:tcBorders>
              <w:top w:val="single" w:color="auto" w:sz="4" w:space="0"/>
              <w:left w:val="single" w:color="auto" w:sz="4" w:space="0"/>
              <w:bottom w:val="single" w:color="auto" w:sz="4" w:space="0"/>
              <w:right w:val="single" w:color="auto" w:sz="4" w:space="0"/>
            </w:tcBorders>
          </w:tcPr>
          <w:p w14:paraId="4A36BB28">
            <w:pPr>
              <w:adjustRightInd w:val="0"/>
              <w:snapToGrid w:val="0"/>
              <w:spacing w:before="156" w:beforeLines="50" w:after="200" w:line="440" w:lineRule="exact"/>
              <w:jc w:val="center"/>
              <w:rPr>
                <w:rFonts w:ascii="宋体" w:hAnsi="宋体"/>
                <w:color w:val="auto"/>
                <w:szCs w:val="21"/>
                <w:highlight w:val="none"/>
              </w:rPr>
            </w:pPr>
          </w:p>
        </w:tc>
        <w:tc>
          <w:tcPr>
            <w:tcW w:w="1259" w:type="dxa"/>
            <w:tcBorders>
              <w:top w:val="single" w:color="auto" w:sz="4" w:space="0"/>
              <w:left w:val="single" w:color="auto" w:sz="4" w:space="0"/>
              <w:bottom w:val="single" w:color="auto" w:sz="4" w:space="0"/>
              <w:right w:val="single" w:color="auto" w:sz="4" w:space="0"/>
            </w:tcBorders>
          </w:tcPr>
          <w:p w14:paraId="2E434FE4">
            <w:pPr>
              <w:adjustRightInd w:val="0"/>
              <w:snapToGrid w:val="0"/>
              <w:spacing w:before="156" w:beforeLines="50" w:after="200" w:line="440" w:lineRule="exact"/>
              <w:jc w:val="center"/>
              <w:rPr>
                <w:rFonts w:ascii="宋体" w:hAnsi="宋体"/>
                <w:color w:val="auto"/>
                <w:szCs w:val="21"/>
                <w:highlight w:val="none"/>
              </w:rPr>
            </w:pPr>
          </w:p>
        </w:tc>
        <w:tc>
          <w:tcPr>
            <w:tcW w:w="3018" w:type="dxa"/>
            <w:tcBorders>
              <w:top w:val="single" w:color="auto" w:sz="4" w:space="0"/>
              <w:left w:val="single" w:color="auto" w:sz="4" w:space="0"/>
              <w:bottom w:val="single" w:color="auto" w:sz="4" w:space="0"/>
              <w:right w:val="single" w:color="auto" w:sz="4" w:space="0"/>
            </w:tcBorders>
          </w:tcPr>
          <w:p w14:paraId="0D92F41C">
            <w:pPr>
              <w:adjustRightInd w:val="0"/>
              <w:snapToGrid w:val="0"/>
              <w:spacing w:before="156" w:beforeLines="50" w:after="200" w:line="440" w:lineRule="exact"/>
              <w:jc w:val="center"/>
              <w:rPr>
                <w:rFonts w:ascii="宋体" w:hAnsi="宋体"/>
                <w:color w:val="auto"/>
                <w:szCs w:val="21"/>
                <w:highlight w:val="none"/>
              </w:rPr>
            </w:pPr>
          </w:p>
        </w:tc>
      </w:tr>
      <w:tr w14:paraId="2574F9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194" w:type="dxa"/>
            <w:tcBorders>
              <w:top w:val="single" w:color="auto" w:sz="4" w:space="0"/>
              <w:left w:val="single" w:color="auto" w:sz="4" w:space="0"/>
              <w:bottom w:val="single" w:color="auto" w:sz="4" w:space="0"/>
              <w:right w:val="single" w:color="auto" w:sz="4" w:space="0"/>
            </w:tcBorders>
          </w:tcPr>
          <w:p w14:paraId="673FC6A5">
            <w:pPr>
              <w:adjustRightInd w:val="0"/>
              <w:snapToGrid w:val="0"/>
              <w:spacing w:before="156" w:beforeLines="50" w:after="200" w:line="440" w:lineRule="exact"/>
              <w:jc w:val="center"/>
              <w:rPr>
                <w:rFonts w:ascii="宋体" w:hAnsi="宋体"/>
                <w:color w:val="auto"/>
                <w:szCs w:val="21"/>
                <w:highlight w:val="none"/>
              </w:rPr>
            </w:pPr>
            <w:r>
              <w:rPr>
                <w:rFonts w:hint="eastAsia" w:ascii="宋体" w:hAnsi="宋体"/>
                <w:color w:val="auto"/>
                <w:szCs w:val="21"/>
                <w:highlight w:val="none"/>
              </w:rPr>
              <w:t>其他</w:t>
            </w:r>
          </w:p>
        </w:tc>
        <w:tc>
          <w:tcPr>
            <w:tcW w:w="2872" w:type="dxa"/>
            <w:tcBorders>
              <w:top w:val="single" w:color="auto" w:sz="4" w:space="0"/>
              <w:left w:val="single" w:color="auto" w:sz="4" w:space="0"/>
              <w:bottom w:val="single" w:color="auto" w:sz="4" w:space="0"/>
              <w:right w:val="single" w:color="auto" w:sz="4" w:space="0"/>
            </w:tcBorders>
          </w:tcPr>
          <w:p w14:paraId="3A5AD8BD">
            <w:pPr>
              <w:adjustRightInd w:val="0"/>
              <w:snapToGrid w:val="0"/>
              <w:spacing w:before="156" w:beforeLines="50" w:after="200" w:line="440" w:lineRule="exact"/>
              <w:jc w:val="center"/>
              <w:rPr>
                <w:rFonts w:ascii="宋体" w:hAnsi="宋体"/>
                <w:color w:val="auto"/>
                <w:szCs w:val="21"/>
                <w:highlight w:val="none"/>
              </w:rPr>
            </w:pPr>
          </w:p>
        </w:tc>
        <w:tc>
          <w:tcPr>
            <w:tcW w:w="1259" w:type="dxa"/>
            <w:tcBorders>
              <w:top w:val="single" w:color="auto" w:sz="4" w:space="0"/>
              <w:left w:val="single" w:color="auto" w:sz="4" w:space="0"/>
              <w:bottom w:val="single" w:color="auto" w:sz="4" w:space="0"/>
              <w:right w:val="single" w:color="auto" w:sz="4" w:space="0"/>
            </w:tcBorders>
          </w:tcPr>
          <w:p w14:paraId="5CDCFB04">
            <w:pPr>
              <w:adjustRightInd w:val="0"/>
              <w:snapToGrid w:val="0"/>
              <w:spacing w:before="156" w:beforeLines="50" w:after="200" w:line="440" w:lineRule="exact"/>
              <w:jc w:val="center"/>
              <w:rPr>
                <w:rFonts w:ascii="宋体" w:hAnsi="宋体"/>
                <w:color w:val="auto"/>
                <w:szCs w:val="21"/>
                <w:highlight w:val="none"/>
              </w:rPr>
            </w:pPr>
          </w:p>
        </w:tc>
        <w:tc>
          <w:tcPr>
            <w:tcW w:w="3018" w:type="dxa"/>
            <w:tcBorders>
              <w:top w:val="single" w:color="auto" w:sz="4" w:space="0"/>
              <w:left w:val="single" w:color="auto" w:sz="4" w:space="0"/>
              <w:bottom w:val="single" w:color="auto" w:sz="4" w:space="0"/>
              <w:right w:val="single" w:color="auto" w:sz="4" w:space="0"/>
            </w:tcBorders>
          </w:tcPr>
          <w:p w14:paraId="1A500231">
            <w:pPr>
              <w:adjustRightInd w:val="0"/>
              <w:snapToGrid w:val="0"/>
              <w:spacing w:before="156" w:beforeLines="50" w:after="200" w:line="440" w:lineRule="exact"/>
              <w:jc w:val="center"/>
              <w:rPr>
                <w:rFonts w:ascii="宋体" w:hAnsi="宋体"/>
                <w:color w:val="auto"/>
                <w:szCs w:val="21"/>
                <w:highlight w:val="none"/>
              </w:rPr>
            </w:pPr>
          </w:p>
        </w:tc>
      </w:tr>
    </w:tbl>
    <w:p w14:paraId="4CE6EF89">
      <w:pPr>
        <w:spacing w:line="360" w:lineRule="auto"/>
        <w:rPr>
          <w:rFonts w:ascii="宋体" w:hAnsi="宋体"/>
          <w:color w:val="auto"/>
          <w:sz w:val="24"/>
          <w:highlight w:val="none"/>
        </w:rPr>
      </w:pPr>
    </w:p>
    <w:p w14:paraId="279A9136">
      <w:pPr>
        <w:spacing w:line="360" w:lineRule="auto"/>
        <w:rPr>
          <w:rFonts w:ascii="宋体" w:hAnsi="宋体"/>
          <w:color w:val="auto"/>
          <w:sz w:val="30"/>
          <w:highlight w:val="none"/>
        </w:rPr>
      </w:pPr>
    </w:p>
    <w:p w14:paraId="06ECB9FD">
      <w:pPr>
        <w:spacing w:line="360" w:lineRule="auto"/>
        <w:ind w:firstLine="211" w:firstLineChars="100"/>
        <w:jc w:val="center"/>
        <w:rPr>
          <w:rFonts w:ascii="宋体" w:hAnsi="宋体"/>
          <w:b/>
          <w:color w:val="auto"/>
          <w:highlight w:val="none"/>
        </w:rPr>
      </w:pPr>
      <w:bookmarkStart w:id="72" w:name="_Hlt26671374"/>
      <w:bookmarkEnd w:id="72"/>
      <w:bookmarkStart w:id="73" w:name="_Hlt26955066"/>
      <w:bookmarkEnd w:id="73"/>
      <w:bookmarkStart w:id="74" w:name="_Hlt26609389"/>
      <w:bookmarkEnd w:id="74"/>
      <w:r>
        <w:rPr>
          <w:rFonts w:hint="eastAsia" w:ascii="宋体" w:hAnsi="宋体"/>
          <w:b/>
          <w:color w:val="auto"/>
          <w:highlight w:val="none"/>
        </w:rPr>
        <w:t>联合体协议（如有）</w:t>
      </w:r>
    </w:p>
    <w:p w14:paraId="2FF0DA06">
      <w:pPr>
        <w:spacing w:line="360" w:lineRule="auto"/>
        <w:ind w:firstLine="211" w:firstLineChars="100"/>
        <w:jc w:val="center"/>
        <w:rPr>
          <w:rFonts w:ascii="宋体" w:hAnsi="宋体"/>
          <w:b/>
          <w:color w:val="auto"/>
          <w:highlight w:val="none"/>
        </w:rPr>
      </w:pPr>
    </w:p>
    <w:p w14:paraId="0CB8A34C">
      <w:pPr>
        <w:spacing w:line="360" w:lineRule="auto"/>
        <w:rPr>
          <w:rFonts w:ascii="宋体" w:hAnsi="宋体"/>
          <w:color w:val="auto"/>
          <w:highlight w:val="none"/>
        </w:rPr>
      </w:pPr>
      <w:r>
        <w:rPr>
          <w:rFonts w:hint="eastAsia" w:ascii="宋体" w:hAnsi="宋体"/>
          <w:color w:val="auto"/>
          <w:highlight w:val="none"/>
        </w:rPr>
        <w:t>（联合体中各供应商全称）在此达成以下协议：</w:t>
      </w:r>
    </w:p>
    <w:p w14:paraId="559A8AD0">
      <w:pPr>
        <w:spacing w:line="360" w:lineRule="auto"/>
        <w:ind w:firstLine="645"/>
        <w:rPr>
          <w:rFonts w:ascii="宋体" w:hAnsi="宋体"/>
          <w:color w:val="auto"/>
          <w:highlight w:val="none"/>
        </w:rPr>
      </w:pPr>
      <w:r>
        <w:rPr>
          <w:rFonts w:hint="eastAsia" w:ascii="宋体" w:hAnsi="宋体"/>
          <w:color w:val="auto"/>
          <w:highlight w:val="none"/>
        </w:rPr>
        <w:t>1、我们自愿组成联合体，参加代理机构组织的采购编号为（项目编号）（项目全称）的政府采购活动。</w:t>
      </w:r>
    </w:p>
    <w:p w14:paraId="29FD62CB">
      <w:pPr>
        <w:spacing w:line="360" w:lineRule="auto"/>
        <w:ind w:firstLine="645"/>
        <w:rPr>
          <w:rFonts w:ascii="宋体" w:hAnsi="宋体"/>
          <w:color w:val="auto"/>
          <w:highlight w:val="none"/>
        </w:rPr>
      </w:pPr>
      <w:r>
        <w:rPr>
          <w:rFonts w:hint="eastAsia" w:ascii="宋体" w:hAnsi="宋体"/>
          <w:color w:val="auto"/>
          <w:highlight w:val="none"/>
        </w:rPr>
        <w:t>2、若我们联合中标、成交，（供应商单位1全称）实施项目中（工作内容）部分工作，并承担相应的责任。（供应商单位2全称）实施项目中（工作内容）部分工作，并承担相应的责任……。（注：联合体中各供应商都应明示所承担的工作和相应的责任）。</w:t>
      </w:r>
    </w:p>
    <w:p w14:paraId="231BD80C">
      <w:pPr>
        <w:spacing w:line="360" w:lineRule="auto"/>
        <w:ind w:firstLine="645"/>
        <w:rPr>
          <w:rFonts w:ascii="宋体" w:hAnsi="宋体"/>
          <w:color w:val="auto"/>
          <w:highlight w:val="none"/>
        </w:rPr>
      </w:pPr>
    </w:p>
    <w:p w14:paraId="587E98EB">
      <w:pPr>
        <w:spacing w:line="360" w:lineRule="auto"/>
        <w:ind w:firstLine="4620" w:firstLineChars="2200"/>
        <w:rPr>
          <w:rFonts w:ascii="宋体" w:hAnsi="宋体"/>
          <w:color w:val="auto"/>
          <w:highlight w:val="none"/>
        </w:rPr>
      </w:pPr>
      <w:r>
        <w:rPr>
          <w:rFonts w:hint="eastAsia" w:ascii="宋体" w:hAnsi="宋体"/>
          <w:color w:val="auto"/>
          <w:highlight w:val="none"/>
        </w:rPr>
        <w:t>所有供应商全称：</w:t>
      </w:r>
    </w:p>
    <w:p w14:paraId="7B2F1E64">
      <w:pPr>
        <w:spacing w:line="360" w:lineRule="auto"/>
        <w:ind w:firstLine="645"/>
        <w:rPr>
          <w:rFonts w:ascii="宋体" w:hAnsi="宋体"/>
          <w:color w:val="auto"/>
          <w:highlight w:val="none"/>
        </w:rPr>
      </w:pPr>
      <w:r>
        <w:rPr>
          <w:rFonts w:hint="eastAsia" w:ascii="宋体" w:hAnsi="宋体"/>
          <w:color w:val="auto"/>
          <w:highlight w:val="none"/>
        </w:rPr>
        <w:t xml:space="preserve">                                      法定代表人：  </w:t>
      </w:r>
    </w:p>
    <w:p w14:paraId="7FF23A84">
      <w:pPr>
        <w:spacing w:line="360" w:lineRule="auto"/>
        <w:ind w:firstLine="4620" w:firstLineChars="2200"/>
        <w:rPr>
          <w:rFonts w:ascii="宋体" w:hAnsi="宋体"/>
          <w:color w:val="auto"/>
          <w:highlight w:val="none"/>
        </w:rPr>
      </w:pPr>
      <w:r>
        <w:rPr>
          <w:rFonts w:hint="eastAsia" w:ascii="宋体" w:hAnsi="宋体"/>
          <w:color w:val="auto"/>
          <w:highlight w:val="none"/>
        </w:rPr>
        <w:t>日期：</w:t>
      </w:r>
    </w:p>
    <w:p w14:paraId="6F4E37D7">
      <w:pPr>
        <w:spacing w:line="360" w:lineRule="auto"/>
        <w:rPr>
          <w:rFonts w:ascii="宋体" w:hAnsi="宋体"/>
          <w:color w:val="auto"/>
          <w:highlight w:val="none"/>
        </w:rPr>
      </w:pPr>
    </w:p>
    <w:p w14:paraId="6C0B7444">
      <w:pPr>
        <w:widowControl/>
        <w:spacing w:before="100" w:beforeAutospacing="1" w:after="143" w:line="360" w:lineRule="auto"/>
        <w:jc w:val="left"/>
        <w:rPr>
          <w:rFonts w:ascii="宋体" w:hAnsi="宋体" w:cs="宋体"/>
          <w:color w:val="auto"/>
          <w:kern w:val="0"/>
          <w:sz w:val="24"/>
          <w:szCs w:val="24"/>
          <w:highlight w:val="none"/>
        </w:rPr>
      </w:pPr>
    </w:p>
    <w:p w14:paraId="61C392B9">
      <w:pPr>
        <w:spacing w:line="360" w:lineRule="auto"/>
        <w:rPr>
          <w:rFonts w:ascii="宋体" w:hAnsi="宋体"/>
          <w:color w:val="auto"/>
          <w:highlight w:val="none"/>
        </w:rPr>
      </w:pPr>
    </w:p>
    <w:p w14:paraId="3332B8E9">
      <w:pPr>
        <w:spacing w:line="360" w:lineRule="auto"/>
        <w:rPr>
          <w:rFonts w:ascii="宋体" w:hAnsi="宋体"/>
          <w:color w:val="auto"/>
          <w:highlight w:val="none"/>
        </w:rPr>
      </w:pPr>
    </w:p>
    <w:p w14:paraId="0694A270">
      <w:pPr>
        <w:spacing w:line="360" w:lineRule="auto"/>
        <w:rPr>
          <w:rFonts w:ascii="宋体" w:hAnsi="宋体"/>
          <w:color w:val="auto"/>
          <w:highlight w:val="none"/>
        </w:rPr>
      </w:pPr>
    </w:p>
    <w:p w14:paraId="3FEE7320">
      <w:pPr>
        <w:spacing w:line="360" w:lineRule="auto"/>
        <w:rPr>
          <w:rFonts w:ascii="宋体" w:hAnsi="宋体"/>
          <w:color w:val="auto"/>
          <w:highlight w:val="none"/>
        </w:rPr>
      </w:pPr>
    </w:p>
    <w:sectPr>
      <w:headerReference r:id="rId5"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幼圆">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Noto Sans CJK JP Regular">
    <w:altName w:val="微软雅黑"/>
    <w:panose1 w:val="00000000000000000000"/>
    <w:charset w:val="00"/>
    <w:family w:val="swiss"/>
    <w:pitch w:val="default"/>
    <w:sig w:usb0="00000000" w:usb1="00000000" w:usb2="00000000" w:usb3="00000000" w:csb0="00040001"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5FD0D4">
    <w:pPr>
      <w:pStyle w:val="14"/>
      <w:jc w:val="center"/>
    </w:pPr>
    <w:r>
      <w:fldChar w:fldCharType="begin"/>
    </w:r>
    <w:r>
      <w:instrText xml:space="preserve">PAGE   \* MERGEFORMAT</w:instrText>
    </w:r>
    <w:r>
      <w:fldChar w:fldCharType="separate"/>
    </w:r>
    <w:r>
      <w:rPr>
        <w:lang w:val="zh-CN"/>
      </w:rPr>
      <w:t>5</w:t>
    </w:r>
    <w:r>
      <w:rPr>
        <w:lang w:val="zh-CN"/>
      </w:rPr>
      <w:fldChar w:fldCharType="end"/>
    </w:r>
  </w:p>
  <w:p w14:paraId="298E4911">
    <w:pPr>
      <w:pStyle w:val="1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7BAAE8">
    <w:pPr>
      <w:pStyle w:val="15"/>
    </w:pPr>
    <w:r>
      <w:rPr>
        <w:rFonts w:hint="eastAsia"/>
        <w:lang w:eastAsia="zh-CN"/>
      </w:rPr>
      <w:t>JSZC-320000-HCZX-G2024-0089</w:t>
    </w:r>
    <w:r>
      <w:rPr>
        <w:rFonts w:hint="eastAsia"/>
      </w:rPr>
      <w:t xml:space="preserve">                                     江苏汇诚投资咨询管理有限公司</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DE9FCA">
    <w:pPr>
      <w:pStyle w:val="15"/>
    </w:pPr>
    <w:r>
      <w:rPr>
        <w:rFonts w:hint="eastAsia"/>
        <w:lang w:eastAsia="zh-CN"/>
      </w:rPr>
      <w:t>JSZC-320000-HCZX-G2024-0089</w:t>
    </w:r>
    <w:r>
      <w:rPr>
        <w:rFonts w:hint="eastAsia"/>
      </w:rPr>
      <w:t xml:space="preserve">                                               江苏汇诚投资咨询管理有限公司</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B83FFA6"/>
    <w:multiLevelType w:val="singleLevel"/>
    <w:tmpl w:val="0B83FFA6"/>
    <w:lvl w:ilvl="0" w:tentative="0">
      <w:start w:val="1"/>
      <w:numFmt w:val="chineseCounting"/>
      <w:suff w:val="nothing"/>
      <w:lvlText w:val="%1、"/>
      <w:lvlJc w:val="left"/>
      <w:rPr>
        <w:rFonts w:hint="eastAsia"/>
      </w:rPr>
    </w:lvl>
  </w:abstractNum>
  <w:abstractNum w:abstractNumId="1">
    <w:nsid w:val="49828453"/>
    <w:multiLevelType w:val="singleLevel"/>
    <w:tmpl w:val="49828453"/>
    <w:lvl w:ilvl="0" w:tentative="0">
      <w:start w:val="4"/>
      <w:numFmt w:val="chineseCounting"/>
      <w:suff w:val="space"/>
      <w:lvlText w:val="第%1章"/>
      <w:lvlJc w:val="left"/>
      <w:rPr>
        <w:rFonts w:hint="eastAsia"/>
      </w:rPr>
    </w:lvl>
  </w:abstractNum>
  <w:abstractNum w:abstractNumId="2">
    <w:nsid w:val="4FC654F6"/>
    <w:multiLevelType w:val="singleLevel"/>
    <w:tmpl w:val="4FC654F6"/>
    <w:lvl w:ilvl="0" w:tentative="0">
      <w:start w:val="1"/>
      <w:numFmt w:val="bullet"/>
      <w:pStyle w:val="10"/>
      <w:lvlText w:val=""/>
      <w:lvlJc w:val="left"/>
      <w:pPr>
        <w:tabs>
          <w:tab w:val="left" w:pos="780"/>
        </w:tabs>
        <w:ind w:left="780" w:hanging="360"/>
      </w:pPr>
      <w:rPr>
        <w:rFonts w:hint="default" w:ascii="Wingdings" w:hAnsi="Wingdings"/>
      </w:rPr>
    </w:lvl>
  </w:abstractNum>
  <w:abstractNum w:abstractNumId="3">
    <w:nsid w:val="620F1A90"/>
    <w:multiLevelType w:val="multilevel"/>
    <w:tmpl w:val="620F1A90"/>
    <w:lvl w:ilvl="0" w:tentative="0">
      <w:start w:val="1"/>
      <w:numFmt w:val="chineseCountingThousand"/>
      <w:suff w:val="nothing"/>
      <w:lvlText w:val="%1、"/>
      <w:lvlJc w:val="center"/>
      <w:pPr>
        <w:ind w:left="0" w:firstLine="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63350384"/>
    <w:multiLevelType w:val="singleLevel"/>
    <w:tmpl w:val="63350384"/>
    <w:lvl w:ilvl="0" w:tentative="0">
      <w:start w:val="6"/>
      <w:numFmt w:val="chineseCounting"/>
      <w:suff w:val="nothing"/>
      <w:lvlText w:val="%1、"/>
      <w:lvlJc w:val="left"/>
      <w:rPr>
        <w:rFonts w:hint="eastAsia"/>
      </w:rPr>
    </w:lvl>
  </w:abstractNum>
  <w:abstractNum w:abstractNumId="5">
    <w:nsid w:val="69413783"/>
    <w:multiLevelType w:val="singleLevel"/>
    <w:tmpl w:val="69413783"/>
    <w:lvl w:ilvl="0" w:tentative="0">
      <w:start w:val="1"/>
      <w:numFmt w:val="decimal"/>
      <w:suff w:val="nothing"/>
      <w:lvlText w:val="（%1）"/>
      <w:lvlJc w:val="left"/>
    </w:lvl>
  </w:abstractNum>
  <w:abstractNum w:abstractNumId="6">
    <w:nsid w:val="79FE2CAC"/>
    <w:multiLevelType w:val="singleLevel"/>
    <w:tmpl w:val="79FE2CAC"/>
    <w:lvl w:ilvl="0" w:tentative="0">
      <w:start w:val="1"/>
      <w:numFmt w:val="decimal"/>
      <w:suff w:val="nothing"/>
      <w:lvlText w:val="（%1）"/>
      <w:lvlJc w:val="left"/>
    </w:lvl>
  </w:abstractNum>
  <w:num w:numId="1">
    <w:abstractNumId w:val="2"/>
  </w:num>
  <w:num w:numId="2">
    <w:abstractNumId w:val="1"/>
  </w:num>
  <w:num w:numId="3">
    <w:abstractNumId w:val="0"/>
  </w:num>
  <w:num w:numId="4">
    <w:abstractNumId w:val="3"/>
  </w:num>
  <w:num w:numId="5">
    <w:abstractNumId w:val="6"/>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IzYTNlZTVkNGM0ZWQwOGI5ZjE2MGNhYWFkNmNlYWYifQ=="/>
    <w:docVar w:name="KSO_WPS_MARK_KEY" w:val="feeeec4a-9a9e-4b28-a92f-f06e0d046e2e"/>
  </w:docVars>
  <w:rsids>
    <w:rsidRoot w:val="00C93106"/>
    <w:rsid w:val="000141C0"/>
    <w:rsid w:val="00017EBD"/>
    <w:rsid w:val="00023249"/>
    <w:rsid w:val="00036A1C"/>
    <w:rsid w:val="00040493"/>
    <w:rsid w:val="00044A97"/>
    <w:rsid w:val="000B432E"/>
    <w:rsid w:val="000C255C"/>
    <w:rsid w:val="000C6965"/>
    <w:rsid w:val="000D0740"/>
    <w:rsid w:val="000D600B"/>
    <w:rsid w:val="000F0458"/>
    <w:rsid w:val="000F2523"/>
    <w:rsid w:val="000F4773"/>
    <w:rsid w:val="000F7920"/>
    <w:rsid w:val="00105F0E"/>
    <w:rsid w:val="00134455"/>
    <w:rsid w:val="0014109E"/>
    <w:rsid w:val="001550B6"/>
    <w:rsid w:val="001668C1"/>
    <w:rsid w:val="00171AA0"/>
    <w:rsid w:val="00171F29"/>
    <w:rsid w:val="0017424C"/>
    <w:rsid w:val="00177419"/>
    <w:rsid w:val="00181A57"/>
    <w:rsid w:val="001901E9"/>
    <w:rsid w:val="001B187C"/>
    <w:rsid w:val="001C62AE"/>
    <w:rsid w:val="001E39AC"/>
    <w:rsid w:val="001F44AE"/>
    <w:rsid w:val="002003C9"/>
    <w:rsid w:val="00206261"/>
    <w:rsid w:val="00215D28"/>
    <w:rsid w:val="00221C9F"/>
    <w:rsid w:val="0022721B"/>
    <w:rsid w:val="0025635F"/>
    <w:rsid w:val="00260D36"/>
    <w:rsid w:val="00270201"/>
    <w:rsid w:val="002713A2"/>
    <w:rsid w:val="00282523"/>
    <w:rsid w:val="00295C7F"/>
    <w:rsid w:val="002B54C1"/>
    <w:rsid w:val="002C3293"/>
    <w:rsid w:val="002D2019"/>
    <w:rsid w:val="002D6B8B"/>
    <w:rsid w:val="002F4BD2"/>
    <w:rsid w:val="00310302"/>
    <w:rsid w:val="00327500"/>
    <w:rsid w:val="00330DD0"/>
    <w:rsid w:val="00333745"/>
    <w:rsid w:val="003353A5"/>
    <w:rsid w:val="003458D4"/>
    <w:rsid w:val="0034727E"/>
    <w:rsid w:val="003623A3"/>
    <w:rsid w:val="00364CB6"/>
    <w:rsid w:val="003657F9"/>
    <w:rsid w:val="00365A87"/>
    <w:rsid w:val="00370764"/>
    <w:rsid w:val="003729A8"/>
    <w:rsid w:val="00372ABA"/>
    <w:rsid w:val="003851F5"/>
    <w:rsid w:val="003A3059"/>
    <w:rsid w:val="003B0A23"/>
    <w:rsid w:val="003B1AD9"/>
    <w:rsid w:val="003E0D29"/>
    <w:rsid w:val="003E6AFA"/>
    <w:rsid w:val="003F6A32"/>
    <w:rsid w:val="004013F4"/>
    <w:rsid w:val="0041116D"/>
    <w:rsid w:val="004130E3"/>
    <w:rsid w:val="00430A1F"/>
    <w:rsid w:val="00431C3F"/>
    <w:rsid w:val="00432DC3"/>
    <w:rsid w:val="00463278"/>
    <w:rsid w:val="00466911"/>
    <w:rsid w:val="00470E31"/>
    <w:rsid w:val="00484FD5"/>
    <w:rsid w:val="00487019"/>
    <w:rsid w:val="004903C0"/>
    <w:rsid w:val="00495C02"/>
    <w:rsid w:val="004A2423"/>
    <w:rsid w:val="004A6C15"/>
    <w:rsid w:val="004B41A4"/>
    <w:rsid w:val="004D2947"/>
    <w:rsid w:val="004D7802"/>
    <w:rsid w:val="004E27DC"/>
    <w:rsid w:val="00506FEA"/>
    <w:rsid w:val="0051109F"/>
    <w:rsid w:val="00517651"/>
    <w:rsid w:val="00517705"/>
    <w:rsid w:val="005500C5"/>
    <w:rsid w:val="0055171F"/>
    <w:rsid w:val="00554889"/>
    <w:rsid w:val="00556ACB"/>
    <w:rsid w:val="00557100"/>
    <w:rsid w:val="00565D8C"/>
    <w:rsid w:val="00576136"/>
    <w:rsid w:val="00594714"/>
    <w:rsid w:val="005A180C"/>
    <w:rsid w:val="005C07B3"/>
    <w:rsid w:val="005C21AE"/>
    <w:rsid w:val="005D065E"/>
    <w:rsid w:val="005E34C0"/>
    <w:rsid w:val="005E72A4"/>
    <w:rsid w:val="005F7BC3"/>
    <w:rsid w:val="00611C6B"/>
    <w:rsid w:val="00616ECA"/>
    <w:rsid w:val="00621845"/>
    <w:rsid w:val="00625FB2"/>
    <w:rsid w:val="00633417"/>
    <w:rsid w:val="00634292"/>
    <w:rsid w:val="00643940"/>
    <w:rsid w:val="006458B8"/>
    <w:rsid w:val="006464E4"/>
    <w:rsid w:val="006514B9"/>
    <w:rsid w:val="0065285C"/>
    <w:rsid w:val="006537BD"/>
    <w:rsid w:val="00661A81"/>
    <w:rsid w:val="006644D3"/>
    <w:rsid w:val="00674E4B"/>
    <w:rsid w:val="00676153"/>
    <w:rsid w:val="00680C22"/>
    <w:rsid w:val="00681A34"/>
    <w:rsid w:val="00694E60"/>
    <w:rsid w:val="006C06E9"/>
    <w:rsid w:val="006C0E1D"/>
    <w:rsid w:val="006D0012"/>
    <w:rsid w:val="006D79D9"/>
    <w:rsid w:val="006F42E1"/>
    <w:rsid w:val="007131BD"/>
    <w:rsid w:val="00714A3E"/>
    <w:rsid w:val="0071678E"/>
    <w:rsid w:val="0072003C"/>
    <w:rsid w:val="00735AD1"/>
    <w:rsid w:val="00736FCE"/>
    <w:rsid w:val="007565D2"/>
    <w:rsid w:val="00766EBD"/>
    <w:rsid w:val="00773D99"/>
    <w:rsid w:val="0078287F"/>
    <w:rsid w:val="007864D9"/>
    <w:rsid w:val="00792F93"/>
    <w:rsid w:val="007B691E"/>
    <w:rsid w:val="007C2396"/>
    <w:rsid w:val="007E01F1"/>
    <w:rsid w:val="0080678D"/>
    <w:rsid w:val="0082144B"/>
    <w:rsid w:val="00825D7F"/>
    <w:rsid w:val="00830E9C"/>
    <w:rsid w:val="00836623"/>
    <w:rsid w:val="00845326"/>
    <w:rsid w:val="00847B9F"/>
    <w:rsid w:val="00857D11"/>
    <w:rsid w:val="00862606"/>
    <w:rsid w:val="00863A4C"/>
    <w:rsid w:val="00881ECB"/>
    <w:rsid w:val="00896562"/>
    <w:rsid w:val="008A7687"/>
    <w:rsid w:val="008E7FFB"/>
    <w:rsid w:val="008F4A88"/>
    <w:rsid w:val="00901359"/>
    <w:rsid w:val="009178B5"/>
    <w:rsid w:val="0092242B"/>
    <w:rsid w:val="009264F3"/>
    <w:rsid w:val="009413B1"/>
    <w:rsid w:val="00952B43"/>
    <w:rsid w:val="00972FB2"/>
    <w:rsid w:val="009765B6"/>
    <w:rsid w:val="009B41E9"/>
    <w:rsid w:val="009B4680"/>
    <w:rsid w:val="009C0FF2"/>
    <w:rsid w:val="009E4C8E"/>
    <w:rsid w:val="009F1FF2"/>
    <w:rsid w:val="009F7604"/>
    <w:rsid w:val="00A067E4"/>
    <w:rsid w:val="00A11DC3"/>
    <w:rsid w:val="00A14640"/>
    <w:rsid w:val="00A22071"/>
    <w:rsid w:val="00A2633E"/>
    <w:rsid w:val="00A3009E"/>
    <w:rsid w:val="00A45F46"/>
    <w:rsid w:val="00A503E0"/>
    <w:rsid w:val="00A67FF0"/>
    <w:rsid w:val="00A76E67"/>
    <w:rsid w:val="00A83065"/>
    <w:rsid w:val="00A96E63"/>
    <w:rsid w:val="00AA3EFB"/>
    <w:rsid w:val="00AC0A97"/>
    <w:rsid w:val="00AE5CCB"/>
    <w:rsid w:val="00B05C2D"/>
    <w:rsid w:val="00B10B57"/>
    <w:rsid w:val="00B111C4"/>
    <w:rsid w:val="00B158FE"/>
    <w:rsid w:val="00B24C3D"/>
    <w:rsid w:val="00B3425B"/>
    <w:rsid w:val="00B41318"/>
    <w:rsid w:val="00B4265F"/>
    <w:rsid w:val="00B44405"/>
    <w:rsid w:val="00B53A5C"/>
    <w:rsid w:val="00B600BF"/>
    <w:rsid w:val="00B66725"/>
    <w:rsid w:val="00B736BA"/>
    <w:rsid w:val="00B81E2C"/>
    <w:rsid w:val="00B83018"/>
    <w:rsid w:val="00B92E93"/>
    <w:rsid w:val="00BA35EB"/>
    <w:rsid w:val="00BA548A"/>
    <w:rsid w:val="00BA7CB6"/>
    <w:rsid w:val="00BB3BD8"/>
    <w:rsid w:val="00BC5575"/>
    <w:rsid w:val="00BD50CE"/>
    <w:rsid w:val="00BD5627"/>
    <w:rsid w:val="00C05CA9"/>
    <w:rsid w:val="00C06472"/>
    <w:rsid w:val="00C16F76"/>
    <w:rsid w:val="00C23CE6"/>
    <w:rsid w:val="00C42318"/>
    <w:rsid w:val="00C63012"/>
    <w:rsid w:val="00C638BB"/>
    <w:rsid w:val="00C674AE"/>
    <w:rsid w:val="00C7372B"/>
    <w:rsid w:val="00C84CF8"/>
    <w:rsid w:val="00C8662B"/>
    <w:rsid w:val="00C93106"/>
    <w:rsid w:val="00CB54EA"/>
    <w:rsid w:val="00CB7471"/>
    <w:rsid w:val="00CC5502"/>
    <w:rsid w:val="00CD2D7D"/>
    <w:rsid w:val="00CD7F10"/>
    <w:rsid w:val="00CE44C9"/>
    <w:rsid w:val="00CF6A00"/>
    <w:rsid w:val="00D003EF"/>
    <w:rsid w:val="00D05A45"/>
    <w:rsid w:val="00D10123"/>
    <w:rsid w:val="00D17491"/>
    <w:rsid w:val="00D1753C"/>
    <w:rsid w:val="00D27C3E"/>
    <w:rsid w:val="00D30EE1"/>
    <w:rsid w:val="00D4660A"/>
    <w:rsid w:val="00D51B8F"/>
    <w:rsid w:val="00D543EC"/>
    <w:rsid w:val="00D63D25"/>
    <w:rsid w:val="00D75260"/>
    <w:rsid w:val="00D9163B"/>
    <w:rsid w:val="00D91C91"/>
    <w:rsid w:val="00D91CCD"/>
    <w:rsid w:val="00D96ABE"/>
    <w:rsid w:val="00DA7E51"/>
    <w:rsid w:val="00DD0043"/>
    <w:rsid w:val="00DD214A"/>
    <w:rsid w:val="00DD3066"/>
    <w:rsid w:val="00DD7EA5"/>
    <w:rsid w:val="00DE3D6C"/>
    <w:rsid w:val="00DE5C76"/>
    <w:rsid w:val="00DF6B53"/>
    <w:rsid w:val="00DF70DF"/>
    <w:rsid w:val="00E25930"/>
    <w:rsid w:val="00E30F0D"/>
    <w:rsid w:val="00E37F18"/>
    <w:rsid w:val="00E4072F"/>
    <w:rsid w:val="00E40A8B"/>
    <w:rsid w:val="00E552CA"/>
    <w:rsid w:val="00E61D55"/>
    <w:rsid w:val="00E72A13"/>
    <w:rsid w:val="00E73899"/>
    <w:rsid w:val="00E81374"/>
    <w:rsid w:val="00E97708"/>
    <w:rsid w:val="00EE4EAF"/>
    <w:rsid w:val="00EE76A2"/>
    <w:rsid w:val="00F01551"/>
    <w:rsid w:val="00F3484B"/>
    <w:rsid w:val="00F55500"/>
    <w:rsid w:val="00F81C05"/>
    <w:rsid w:val="00F84724"/>
    <w:rsid w:val="00F850CF"/>
    <w:rsid w:val="00F91FDA"/>
    <w:rsid w:val="00FA002A"/>
    <w:rsid w:val="00FA769E"/>
    <w:rsid w:val="00FB0DCD"/>
    <w:rsid w:val="00FB27D9"/>
    <w:rsid w:val="00FB459D"/>
    <w:rsid w:val="00FC2933"/>
    <w:rsid w:val="00FC353E"/>
    <w:rsid w:val="00FD41DD"/>
    <w:rsid w:val="00FE0387"/>
    <w:rsid w:val="01356CE1"/>
    <w:rsid w:val="01433EB3"/>
    <w:rsid w:val="019236BE"/>
    <w:rsid w:val="01C74A3B"/>
    <w:rsid w:val="03182030"/>
    <w:rsid w:val="033F00DD"/>
    <w:rsid w:val="038C7B50"/>
    <w:rsid w:val="04405DEB"/>
    <w:rsid w:val="04EB38AE"/>
    <w:rsid w:val="05C100F0"/>
    <w:rsid w:val="05C3315A"/>
    <w:rsid w:val="063E7DD9"/>
    <w:rsid w:val="0643687B"/>
    <w:rsid w:val="06D307E7"/>
    <w:rsid w:val="06EB7657"/>
    <w:rsid w:val="071E0806"/>
    <w:rsid w:val="080753E2"/>
    <w:rsid w:val="08256D3C"/>
    <w:rsid w:val="08333BCE"/>
    <w:rsid w:val="08753C76"/>
    <w:rsid w:val="08CA2A7A"/>
    <w:rsid w:val="08E7027B"/>
    <w:rsid w:val="0A1A0D8B"/>
    <w:rsid w:val="0A267687"/>
    <w:rsid w:val="0AA21128"/>
    <w:rsid w:val="0AD6392F"/>
    <w:rsid w:val="0AE41BA8"/>
    <w:rsid w:val="0B05743F"/>
    <w:rsid w:val="0BA05F0B"/>
    <w:rsid w:val="0BE8391A"/>
    <w:rsid w:val="0C0F7730"/>
    <w:rsid w:val="0C63662A"/>
    <w:rsid w:val="0CCD16AE"/>
    <w:rsid w:val="0D1A0B8B"/>
    <w:rsid w:val="0D5F19BA"/>
    <w:rsid w:val="0D6F1FF8"/>
    <w:rsid w:val="0DD127E0"/>
    <w:rsid w:val="0DDD50A9"/>
    <w:rsid w:val="0E580B1C"/>
    <w:rsid w:val="0E5D63B2"/>
    <w:rsid w:val="0E665796"/>
    <w:rsid w:val="0E75288F"/>
    <w:rsid w:val="0EB16044"/>
    <w:rsid w:val="0F51522C"/>
    <w:rsid w:val="0FA27BD5"/>
    <w:rsid w:val="11056D1C"/>
    <w:rsid w:val="111A6107"/>
    <w:rsid w:val="111F62D1"/>
    <w:rsid w:val="11460E6A"/>
    <w:rsid w:val="119123B1"/>
    <w:rsid w:val="11D878B9"/>
    <w:rsid w:val="12093F4C"/>
    <w:rsid w:val="12BC5E48"/>
    <w:rsid w:val="13035FEB"/>
    <w:rsid w:val="1397053E"/>
    <w:rsid w:val="13D6758B"/>
    <w:rsid w:val="14533E64"/>
    <w:rsid w:val="14615B66"/>
    <w:rsid w:val="1490433B"/>
    <w:rsid w:val="14CB2FEF"/>
    <w:rsid w:val="14F75772"/>
    <w:rsid w:val="155454D6"/>
    <w:rsid w:val="157A0198"/>
    <w:rsid w:val="15AF7257"/>
    <w:rsid w:val="15E17EC8"/>
    <w:rsid w:val="164E081E"/>
    <w:rsid w:val="17E31439"/>
    <w:rsid w:val="17FB28C2"/>
    <w:rsid w:val="180F0D0E"/>
    <w:rsid w:val="18542BF6"/>
    <w:rsid w:val="18F90A65"/>
    <w:rsid w:val="198F3627"/>
    <w:rsid w:val="19E657F1"/>
    <w:rsid w:val="1A8F6248"/>
    <w:rsid w:val="1A9001EF"/>
    <w:rsid w:val="1AF52365"/>
    <w:rsid w:val="1B074EF2"/>
    <w:rsid w:val="1B3F20DA"/>
    <w:rsid w:val="1B5D666D"/>
    <w:rsid w:val="1B751D5E"/>
    <w:rsid w:val="1C000797"/>
    <w:rsid w:val="1C1147C7"/>
    <w:rsid w:val="1C741D96"/>
    <w:rsid w:val="1C907B94"/>
    <w:rsid w:val="1CCE1CD8"/>
    <w:rsid w:val="1D6A6C90"/>
    <w:rsid w:val="1D7F082B"/>
    <w:rsid w:val="1DD97C14"/>
    <w:rsid w:val="1DDF4451"/>
    <w:rsid w:val="1E1162DD"/>
    <w:rsid w:val="1E124D81"/>
    <w:rsid w:val="1E5C6DC9"/>
    <w:rsid w:val="1F826229"/>
    <w:rsid w:val="1FB67E40"/>
    <w:rsid w:val="218A371D"/>
    <w:rsid w:val="219F0AC7"/>
    <w:rsid w:val="21CA68A0"/>
    <w:rsid w:val="222600B3"/>
    <w:rsid w:val="22590C76"/>
    <w:rsid w:val="22AC5B6E"/>
    <w:rsid w:val="22B73EC7"/>
    <w:rsid w:val="23082BF1"/>
    <w:rsid w:val="23691345"/>
    <w:rsid w:val="249E3DAA"/>
    <w:rsid w:val="25564704"/>
    <w:rsid w:val="25B2424A"/>
    <w:rsid w:val="26C23F57"/>
    <w:rsid w:val="26E66850"/>
    <w:rsid w:val="27970666"/>
    <w:rsid w:val="27EB6814"/>
    <w:rsid w:val="27F8602B"/>
    <w:rsid w:val="28B275D5"/>
    <w:rsid w:val="29112E49"/>
    <w:rsid w:val="29370800"/>
    <w:rsid w:val="297216B5"/>
    <w:rsid w:val="29E17900"/>
    <w:rsid w:val="2B3B28EE"/>
    <w:rsid w:val="2B94121A"/>
    <w:rsid w:val="2BDB26FC"/>
    <w:rsid w:val="2C9A6113"/>
    <w:rsid w:val="2D3C71CA"/>
    <w:rsid w:val="2D873C7E"/>
    <w:rsid w:val="2DD41AF8"/>
    <w:rsid w:val="2DFF755A"/>
    <w:rsid w:val="2E166456"/>
    <w:rsid w:val="2E3658EB"/>
    <w:rsid w:val="2E6B1C33"/>
    <w:rsid w:val="2EA54912"/>
    <w:rsid w:val="2FE53B49"/>
    <w:rsid w:val="301A4581"/>
    <w:rsid w:val="307B7CC0"/>
    <w:rsid w:val="30AD2D2F"/>
    <w:rsid w:val="30CE6C33"/>
    <w:rsid w:val="31302057"/>
    <w:rsid w:val="319A0997"/>
    <w:rsid w:val="3205790A"/>
    <w:rsid w:val="32233474"/>
    <w:rsid w:val="32D305D1"/>
    <w:rsid w:val="344D4B92"/>
    <w:rsid w:val="34677222"/>
    <w:rsid w:val="347F0FFB"/>
    <w:rsid w:val="3480127E"/>
    <w:rsid w:val="349618B6"/>
    <w:rsid w:val="35034785"/>
    <w:rsid w:val="35B6342C"/>
    <w:rsid w:val="35FA133A"/>
    <w:rsid w:val="363D2887"/>
    <w:rsid w:val="367E05E7"/>
    <w:rsid w:val="36C27330"/>
    <w:rsid w:val="36C555C0"/>
    <w:rsid w:val="370276D6"/>
    <w:rsid w:val="37757EA8"/>
    <w:rsid w:val="37DD0DD4"/>
    <w:rsid w:val="399142F6"/>
    <w:rsid w:val="3A5771C4"/>
    <w:rsid w:val="3A5D1914"/>
    <w:rsid w:val="3ABD1C63"/>
    <w:rsid w:val="3AE330DB"/>
    <w:rsid w:val="3B5D256E"/>
    <w:rsid w:val="3B6C511E"/>
    <w:rsid w:val="3BCB345B"/>
    <w:rsid w:val="3BD63A62"/>
    <w:rsid w:val="3C89441F"/>
    <w:rsid w:val="3D0A4BEF"/>
    <w:rsid w:val="3D660D93"/>
    <w:rsid w:val="3DCF706E"/>
    <w:rsid w:val="3E71157C"/>
    <w:rsid w:val="3E8C1BDA"/>
    <w:rsid w:val="3EFE75C0"/>
    <w:rsid w:val="3F090676"/>
    <w:rsid w:val="3F2D2FD7"/>
    <w:rsid w:val="3FD7327F"/>
    <w:rsid w:val="3FFF5A07"/>
    <w:rsid w:val="403523E4"/>
    <w:rsid w:val="408711A0"/>
    <w:rsid w:val="40C51AA7"/>
    <w:rsid w:val="411B1E44"/>
    <w:rsid w:val="41343BBA"/>
    <w:rsid w:val="41CB724B"/>
    <w:rsid w:val="41F445A1"/>
    <w:rsid w:val="424400FD"/>
    <w:rsid w:val="42E40ACD"/>
    <w:rsid w:val="42EE7BA6"/>
    <w:rsid w:val="43A50824"/>
    <w:rsid w:val="43B546DB"/>
    <w:rsid w:val="44A70212"/>
    <w:rsid w:val="44F36C8D"/>
    <w:rsid w:val="45117E50"/>
    <w:rsid w:val="456D13FD"/>
    <w:rsid w:val="45765517"/>
    <w:rsid w:val="45AB2CE7"/>
    <w:rsid w:val="45DB4973"/>
    <w:rsid w:val="46417BF2"/>
    <w:rsid w:val="464E1FF0"/>
    <w:rsid w:val="473822C8"/>
    <w:rsid w:val="47436161"/>
    <w:rsid w:val="47A80316"/>
    <w:rsid w:val="47B95B8F"/>
    <w:rsid w:val="47F866BF"/>
    <w:rsid w:val="483E00D2"/>
    <w:rsid w:val="483E6094"/>
    <w:rsid w:val="48E829AC"/>
    <w:rsid w:val="493C46E1"/>
    <w:rsid w:val="493F2388"/>
    <w:rsid w:val="497C50C6"/>
    <w:rsid w:val="49816239"/>
    <w:rsid w:val="498F4BB5"/>
    <w:rsid w:val="499812F1"/>
    <w:rsid w:val="4A0D1E7A"/>
    <w:rsid w:val="4A221E03"/>
    <w:rsid w:val="4A355552"/>
    <w:rsid w:val="4B040CD4"/>
    <w:rsid w:val="4B155EAB"/>
    <w:rsid w:val="4B235196"/>
    <w:rsid w:val="4B771FE9"/>
    <w:rsid w:val="4C155ACF"/>
    <w:rsid w:val="4C4D3945"/>
    <w:rsid w:val="4C685CCF"/>
    <w:rsid w:val="4CA11D05"/>
    <w:rsid w:val="4CB95BF0"/>
    <w:rsid w:val="4D434BEE"/>
    <w:rsid w:val="4D647741"/>
    <w:rsid w:val="4D863C5D"/>
    <w:rsid w:val="4DBD1C16"/>
    <w:rsid w:val="4DE025B2"/>
    <w:rsid w:val="4E35604F"/>
    <w:rsid w:val="4E687F78"/>
    <w:rsid w:val="4E781B41"/>
    <w:rsid w:val="4EC96D1C"/>
    <w:rsid w:val="4EF3372D"/>
    <w:rsid w:val="4F0C5AE3"/>
    <w:rsid w:val="4F943823"/>
    <w:rsid w:val="4FBB33BF"/>
    <w:rsid w:val="507C4C04"/>
    <w:rsid w:val="50CA16F6"/>
    <w:rsid w:val="50FD1219"/>
    <w:rsid w:val="51A71FA4"/>
    <w:rsid w:val="526040CF"/>
    <w:rsid w:val="53C1303D"/>
    <w:rsid w:val="53E55DC4"/>
    <w:rsid w:val="54046A98"/>
    <w:rsid w:val="54341CB0"/>
    <w:rsid w:val="549332C4"/>
    <w:rsid w:val="549C32EC"/>
    <w:rsid w:val="54CF254E"/>
    <w:rsid w:val="54E149CA"/>
    <w:rsid w:val="55126FE0"/>
    <w:rsid w:val="55AC109B"/>
    <w:rsid w:val="55B300C2"/>
    <w:rsid w:val="55D4269A"/>
    <w:rsid w:val="55EB2039"/>
    <w:rsid w:val="5610202B"/>
    <w:rsid w:val="564156CE"/>
    <w:rsid w:val="565B5CE4"/>
    <w:rsid w:val="566673AD"/>
    <w:rsid w:val="56C341AB"/>
    <w:rsid w:val="56C877E4"/>
    <w:rsid w:val="588A355D"/>
    <w:rsid w:val="58951D01"/>
    <w:rsid w:val="589D6F3A"/>
    <w:rsid w:val="58EF7F35"/>
    <w:rsid w:val="59577EF5"/>
    <w:rsid w:val="5998434B"/>
    <w:rsid w:val="599B776A"/>
    <w:rsid w:val="59F4734F"/>
    <w:rsid w:val="5A533916"/>
    <w:rsid w:val="5A552913"/>
    <w:rsid w:val="5AAC0420"/>
    <w:rsid w:val="5AC324E7"/>
    <w:rsid w:val="5ACA6500"/>
    <w:rsid w:val="5ACB306E"/>
    <w:rsid w:val="5AFD593B"/>
    <w:rsid w:val="5B9E6C3F"/>
    <w:rsid w:val="5BBC3189"/>
    <w:rsid w:val="5C705306"/>
    <w:rsid w:val="5CA2052E"/>
    <w:rsid w:val="5CED3B8F"/>
    <w:rsid w:val="5D5F28DD"/>
    <w:rsid w:val="5D953CD1"/>
    <w:rsid w:val="5DD62B9F"/>
    <w:rsid w:val="5E1959FE"/>
    <w:rsid w:val="5E23105F"/>
    <w:rsid w:val="5E385608"/>
    <w:rsid w:val="5E3C3E7E"/>
    <w:rsid w:val="5EA72F3D"/>
    <w:rsid w:val="5ED051B8"/>
    <w:rsid w:val="5EFA4F69"/>
    <w:rsid w:val="5FDD3055"/>
    <w:rsid w:val="6059595B"/>
    <w:rsid w:val="60896798"/>
    <w:rsid w:val="60D24DC0"/>
    <w:rsid w:val="61626B32"/>
    <w:rsid w:val="61863301"/>
    <w:rsid w:val="61997A41"/>
    <w:rsid w:val="61A10551"/>
    <w:rsid w:val="61BD7BD2"/>
    <w:rsid w:val="6243457B"/>
    <w:rsid w:val="6254261C"/>
    <w:rsid w:val="627B6532"/>
    <w:rsid w:val="62B1265D"/>
    <w:rsid w:val="633304A0"/>
    <w:rsid w:val="641D4DE6"/>
    <w:rsid w:val="6467297D"/>
    <w:rsid w:val="646B52B8"/>
    <w:rsid w:val="64A855C6"/>
    <w:rsid w:val="6583344D"/>
    <w:rsid w:val="65AA0C9D"/>
    <w:rsid w:val="660264A8"/>
    <w:rsid w:val="668C0CD2"/>
    <w:rsid w:val="6734105D"/>
    <w:rsid w:val="67A6391B"/>
    <w:rsid w:val="67C223E6"/>
    <w:rsid w:val="67EA3477"/>
    <w:rsid w:val="67EF426C"/>
    <w:rsid w:val="681864B1"/>
    <w:rsid w:val="68234313"/>
    <w:rsid w:val="684B7535"/>
    <w:rsid w:val="68C63810"/>
    <w:rsid w:val="69A023B2"/>
    <w:rsid w:val="69A457AE"/>
    <w:rsid w:val="69E37F93"/>
    <w:rsid w:val="6A0B3BB5"/>
    <w:rsid w:val="6A10568B"/>
    <w:rsid w:val="6A366774"/>
    <w:rsid w:val="6A4B4415"/>
    <w:rsid w:val="6A6E5840"/>
    <w:rsid w:val="6A6F1BAE"/>
    <w:rsid w:val="6A7F011B"/>
    <w:rsid w:val="6AF61E1C"/>
    <w:rsid w:val="6B832849"/>
    <w:rsid w:val="6B956FFF"/>
    <w:rsid w:val="6BA51C0A"/>
    <w:rsid w:val="6BE92DCC"/>
    <w:rsid w:val="6BF803B2"/>
    <w:rsid w:val="6C8B36D7"/>
    <w:rsid w:val="6D4A2C62"/>
    <w:rsid w:val="6D660588"/>
    <w:rsid w:val="6DD778D7"/>
    <w:rsid w:val="6E0653B5"/>
    <w:rsid w:val="6E271D2C"/>
    <w:rsid w:val="6EA94619"/>
    <w:rsid w:val="6F730839"/>
    <w:rsid w:val="70357BF9"/>
    <w:rsid w:val="7073427E"/>
    <w:rsid w:val="707D6EAA"/>
    <w:rsid w:val="707F0E75"/>
    <w:rsid w:val="70D660F1"/>
    <w:rsid w:val="71107001"/>
    <w:rsid w:val="71D17D44"/>
    <w:rsid w:val="72583E6C"/>
    <w:rsid w:val="72925C9A"/>
    <w:rsid w:val="72E12ED9"/>
    <w:rsid w:val="730B5AE9"/>
    <w:rsid w:val="733A1083"/>
    <w:rsid w:val="739E7864"/>
    <w:rsid w:val="73F9505A"/>
    <w:rsid w:val="744530CF"/>
    <w:rsid w:val="74CC0B64"/>
    <w:rsid w:val="750F40FB"/>
    <w:rsid w:val="755D54FC"/>
    <w:rsid w:val="757F1917"/>
    <w:rsid w:val="75A6152B"/>
    <w:rsid w:val="75CD61DE"/>
    <w:rsid w:val="7618014C"/>
    <w:rsid w:val="762F1370"/>
    <w:rsid w:val="765E777E"/>
    <w:rsid w:val="766905FD"/>
    <w:rsid w:val="766E39D9"/>
    <w:rsid w:val="774A6914"/>
    <w:rsid w:val="77575D2B"/>
    <w:rsid w:val="780D6D66"/>
    <w:rsid w:val="789C40E1"/>
    <w:rsid w:val="78A27943"/>
    <w:rsid w:val="78AD1482"/>
    <w:rsid w:val="792F39E5"/>
    <w:rsid w:val="7A185700"/>
    <w:rsid w:val="7A2D118F"/>
    <w:rsid w:val="7A6B4824"/>
    <w:rsid w:val="7AAA2F92"/>
    <w:rsid w:val="7B212202"/>
    <w:rsid w:val="7B6E2706"/>
    <w:rsid w:val="7BD707FA"/>
    <w:rsid w:val="7BED27FA"/>
    <w:rsid w:val="7C2F2DC1"/>
    <w:rsid w:val="7C7C2303"/>
    <w:rsid w:val="7D8236BB"/>
    <w:rsid w:val="7DD12DB9"/>
    <w:rsid w:val="7E5D76A5"/>
    <w:rsid w:val="7F6036E5"/>
    <w:rsid w:val="7F7122D0"/>
    <w:rsid w:val="7FBE38A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qFormat="1" w:unhideWhenUsed="0" w:uiPriority="2" w:semiHidden="0" w:name="toc 9"/>
    <w:lsdException w:qFormat="1" w:uiPriority="0" w:semiHidden="0" w:name="Normal Indent"/>
    <w:lsdException w:unhideWhenUsed="0" w:uiPriority="0" w:semiHidden="0" w:name="footnote text"/>
    <w:lsdException w:qFormat="1"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99"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qFormat/>
    <w:uiPriority w:val="9"/>
    <w:pPr>
      <w:keepNext/>
      <w:keepLines/>
      <w:spacing w:before="340" w:after="330" w:line="578" w:lineRule="auto"/>
      <w:outlineLvl w:val="0"/>
    </w:pPr>
    <w:rPr>
      <w:b/>
      <w:bCs/>
      <w:kern w:val="44"/>
      <w:sz w:val="44"/>
      <w:szCs w:val="44"/>
    </w:rPr>
  </w:style>
  <w:style w:type="paragraph" w:styleId="3">
    <w:name w:val="heading 2"/>
    <w:basedOn w:val="1"/>
    <w:next w:val="1"/>
    <w:qFormat/>
    <w:uiPriority w:val="0"/>
    <w:pPr>
      <w:keepNext/>
      <w:keepLines/>
      <w:spacing w:before="260" w:after="260" w:line="416" w:lineRule="auto"/>
      <w:jc w:val="center"/>
      <w:outlineLvl w:val="1"/>
    </w:pPr>
    <w:rPr>
      <w:rFonts w:ascii="Arial" w:hAnsi="Arial" w:eastAsia="幼圆" w:cs="Arial"/>
      <w:b/>
      <w:bCs/>
      <w:sz w:val="44"/>
      <w:szCs w:val="44"/>
    </w:rPr>
  </w:style>
  <w:style w:type="paragraph" w:styleId="4">
    <w:name w:val="heading 3"/>
    <w:basedOn w:val="1"/>
    <w:next w:val="1"/>
    <w:qFormat/>
    <w:uiPriority w:val="0"/>
    <w:pPr>
      <w:keepNext/>
      <w:keepLines/>
      <w:spacing w:before="260" w:after="260" w:line="416" w:lineRule="auto"/>
      <w:outlineLvl w:val="2"/>
    </w:pPr>
    <w:rPr>
      <w:b/>
      <w:bCs/>
      <w:sz w:val="32"/>
      <w:szCs w:val="32"/>
    </w:rPr>
  </w:style>
  <w:style w:type="paragraph" w:styleId="5">
    <w:name w:val="heading 4"/>
    <w:basedOn w:val="1"/>
    <w:next w:val="6"/>
    <w:qFormat/>
    <w:uiPriority w:val="0"/>
    <w:pPr>
      <w:spacing w:before="280" w:after="290" w:line="377" w:lineRule="auto"/>
      <w:outlineLvl w:val="3"/>
    </w:pPr>
    <w:rPr>
      <w:rFonts w:ascii="Arial" w:hAnsi="Arial" w:eastAsia="黑体"/>
      <w:b/>
      <w:bCs/>
      <w:kern w:val="0"/>
      <w:sz w:val="28"/>
      <w:szCs w:val="28"/>
    </w:rPr>
  </w:style>
  <w:style w:type="character" w:default="1" w:styleId="23">
    <w:name w:val="Default Paragraph Font"/>
    <w:semiHidden/>
    <w:unhideWhenUsed/>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6">
    <w:name w:val="Normal Indent"/>
    <w:basedOn w:val="1"/>
    <w:next w:val="1"/>
    <w:unhideWhenUsed/>
    <w:qFormat/>
    <w:uiPriority w:val="0"/>
    <w:pPr>
      <w:ind w:firstLine="420" w:firstLineChars="200"/>
    </w:pPr>
  </w:style>
  <w:style w:type="paragraph" w:styleId="7">
    <w:name w:val="annotation text"/>
    <w:basedOn w:val="1"/>
    <w:link w:val="50"/>
    <w:qFormat/>
    <w:uiPriority w:val="0"/>
    <w:pPr>
      <w:jc w:val="left"/>
    </w:pPr>
  </w:style>
  <w:style w:type="paragraph" w:styleId="8">
    <w:name w:val="Body Text"/>
    <w:basedOn w:val="1"/>
    <w:qFormat/>
    <w:uiPriority w:val="0"/>
    <w:rPr>
      <w:rFonts w:ascii="楷体_GB2312" w:hAnsi="Arial" w:eastAsia="楷体_GB2312"/>
      <w:sz w:val="28"/>
      <w:szCs w:val="28"/>
    </w:rPr>
  </w:style>
  <w:style w:type="paragraph" w:styleId="9">
    <w:name w:val="Body Text Indent"/>
    <w:basedOn w:val="1"/>
    <w:next w:val="1"/>
    <w:qFormat/>
    <w:uiPriority w:val="99"/>
    <w:pPr>
      <w:spacing w:after="120"/>
      <w:ind w:left="420" w:leftChars="200"/>
    </w:pPr>
    <w:rPr>
      <w:kern w:val="0"/>
      <w:sz w:val="20"/>
      <w:szCs w:val="24"/>
    </w:rPr>
  </w:style>
  <w:style w:type="paragraph" w:styleId="10">
    <w:name w:val="List Bullet 2"/>
    <w:basedOn w:val="1"/>
    <w:qFormat/>
    <w:uiPriority w:val="0"/>
    <w:pPr>
      <w:numPr>
        <w:ilvl w:val="0"/>
        <w:numId w:val="1"/>
      </w:numPr>
    </w:pPr>
  </w:style>
  <w:style w:type="paragraph" w:styleId="11">
    <w:name w:val="Plain Text"/>
    <w:basedOn w:val="1"/>
    <w:qFormat/>
    <w:uiPriority w:val="99"/>
    <w:rPr>
      <w:rFonts w:ascii="宋体" w:hAnsi="Courier New"/>
      <w:kern w:val="0"/>
      <w:sz w:val="20"/>
      <w:szCs w:val="21"/>
    </w:rPr>
  </w:style>
  <w:style w:type="paragraph" w:styleId="12">
    <w:name w:val="Body Text Indent 2"/>
    <w:basedOn w:val="1"/>
    <w:link w:val="52"/>
    <w:qFormat/>
    <w:uiPriority w:val="99"/>
    <w:pPr>
      <w:snapToGrid w:val="0"/>
      <w:spacing w:line="480" w:lineRule="exact"/>
      <w:ind w:firstLine="562" w:firstLineChars="200"/>
    </w:pPr>
    <w:rPr>
      <w:rFonts w:ascii="楷体_GB2312" w:eastAsia="楷体_GB2312"/>
      <w:b/>
      <w:bCs/>
      <w:kern w:val="0"/>
      <w:sz w:val="28"/>
      <w:szCs w:val="24"/>
    </w:rPr>
  </w:style>
  <w:style w:type="paragraph" w:styleId="13">
    <w:name w:val="Balloon Text"/>
    <w:basedOn w:val="1"/>
    <w:link w:val="30"/>
    <w:qFormat/>
    <w:uiPriority w:val="0"/>
    <w:rPr>
      <w:sz w:val="18"/>
      <w:szCs w:val="18"/>
    </w:rPr>
  </w:style>
  <w:style w:type="paragraph" w:styleId="14">
    <w:name w:val="footer"/>
    <w:basedOn w:val="1"/>
    <w:unhideWhenUsed/>
    <w:qFormat/>
    <w:uiPriority w:val="99"/>
    <w:pPr>
      <w:tabs>
        <w:tab w:val="center" w:pos="4153"/>
        <w:tab w:val="right" w:pos="8306"/>
      </w:tabs>
      <w:snapToGrid w:val="0"/>
      <w:jc w:val="left"/>
    </w:pPr>
    <w:rPr>
      <w:sz w:val="18"/>
      <w:szCs w:val="18"/>
    </w:rPr>
  </w:style>
  <w:style w:type="paragraph" w:styleId="15">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16">
    <w:name w:val="toc 1"/>
    <w:basedOn w:val="1"/>
    <w:next w:val="1"/>
    <w:unhideWhenUsed/>
    <w:qFormat/>
    <w:uiPriority w:val="39"/>
  </w:style>
  <w:style w:type="paragraph" w:styleId="17">
    <w:name w:val="toc 9"/>
    <w:basedOn w:val="1"/>
    <w:next w:val="1"/>
    <w:qFormat/>
    <w:uiPriority w:val="2"/>
    <w:pPr>
      <w:ind w:left="1680"/>
      <w:jc w:val="left"/>
    </w:pPr>
    <w:rPr>
      <w:sz w:val="18"/>
      <w:szCs w:val="18"/>
    </w:rPr>
  </w:style>
  <w:style w:type="paragraph" w:styleId="18">
    <w:name w:val="Body Text 2"/>
    <w:basedOn w:val="1"/>
    <w:qFormat/>
    <w:uiPriority w:val="0"/>
    <w:pPr>
      <w:spacing w:after="120" w:line="480" w:lineRule="auto"/>
    </w:pPr>
  </w:style>
  <w:style w:type="paragraph" w:styleId="19">
    <w:name w:val="Normal (Web)"/>
    <w:basedOn w:val="1"/>
    <w:qFormat/>
    <w:uiPriority w:val="0"/>
    <w:rPr>
      <w:rFonts w:ascii="Times New Roman" w:hAnsi="Times New Roman"/>
      <w:sz w:val="24"/>
    </w:rPr>
  </w:style>
  <w:style w:type="paragraph" w:styleId="20">
    <w:name w:val="annotation subject"/>
    <w:basedOn w:val="7"/>
    <w:next w:val="7"/>
    <w:link w:val="51"/>
    <w:qFormat/>
    <w:uiPriority w:val="0"/>
    <w:rPr>
      <w:b/>
      <w:bCs/>
    </w:rPr>
  </w:style>
  <w:style w:type="table" w:styleId="22">
    <w:name w:val="Table Grid"/>
    <w:basedOn w:val="21"/>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24">
    <w:name w:val="Strong"/>
    <w:qFormat/>
    <w:uiPriority w:val="0"/>
    <w:rPr>
      <w:b/>
    </w:rPr>
  </w:style>
  <w:style w:type="character" w:styleId="25">
    <w:name w:val="Hyperlink"/>
    <w:basedOn w:val="23"/>
    <w:qFormat/>
    <w:uiPriority w:val="0"/>
    <w:rPr>
      <w:color w:val="0563C1" w:themeColor="hyperlink"/>
      <w:u w:val="single"/>
      <w14:textFill>
        <w14:solidFill>
          <w14:schemeClr w14:val="hlink"/>
        </w14:solidFill>
      </w14:textFill>
    </w:rPr>
  </w:style>
  <w:style w:type="character" w:styleId="26">
    <w:name w:val="annotation reference"/>
    <w:basedOn w:val="23"/>
    <w:qFormat/>
    <w:uiPriority w:val="0"/>
    <w:rPr>
      <w:sz w:val="21"/>
      <w:szCs w:val="21"/>
    </w:rPr>
  </w:style>
  <w:style w:type="paragraph" w:customStyle="1" w:styleId="27">
    <w:name w:val="正文1"/>
    <w:basedOn w:val="1"/>
    <w:next w:val="1"/>
    <w:qFormat/>
    <w:uiPriority w:val="0"/>
    <w:pPr>
      <w:spacing w:line="360" w:lineRule="atLeast"/>
      <w:jc w:val="left"/>
    </w:pPr>
    <w:rPr>
      <w:rFonts w:ascii="宋体" w:hAnsiTheme="minorHAnsi" w:eastAsiaTheme="minorEastAsia" w:cstheme="minorBidi"/>
      <w:sz w:val="24"/>
      <w:szCs w:val="20"/>
    </w:rPr>
  </w:style>
  <w:style w:type="paragraph" w:customStyle="1" w:styleId="28">
    <w:name w:val="普通正文"/>
    <w:basedOn w:val="1"/>
    <w:qFormat/>
    <w:uiPriority w:val="0"/>
    <w:pPr>
      <w:adjustRightInd w:val="0"/>
      <w:spacing w:before="120" w:after="120" w:line="360" w:lineRule="auto"/>
      <w:ind w:firstLine="480"/>
      <w:jc w:val="left"/>
      <w:textAlignment w:val="baseline"/>
    </w:pPr>
    <w:rPr>
      <w:rFonts w:ascii="Arial" w:hAnsi="Arial"/>
      <w:kern w:val="0"/>
      <w:sz w:val="24"/>
      <w:szCs w:val="24"/>
    </w:rPr>
  </w:style>
  <w:style w:type="paragraph" w:customStyle="1" w:styleId="29">
    <w:name w:val="Char"/>
    <w:basedOn w:val="1"/>
    <w:qFormat/>
    <w:uiPriority w:val="0"/>
    <w:pPr>
      <w:tabs>
        <w:tab w:val="left" w:pos="360"/>
      </w:tabs>
      <w:ind w:firstLine="200" w:firstLineChars="200"/>
    </w:pPr>
    <w:rPr>
      <w:rFonts w:ascii="Times New Roman" w:hAnsi="Times New Roman"/>
      <w:sz w:val="28"/>
      <w:szCs w:val="30"/>
    </w:rPr>
  </w:style>
  <w:style w:type="character" w:customStyle="1" w:styleId="30">
    <w:name w:val="批注框文本 Char"/>
    <w:basedOn w:val="23"/>
    <w:link w:val="13"/>
    <w:qFormat/>
    <w:uiPriority w:val="0"/>
    <w:rPr>
      <w:kern w:val="2"/>
      <w:sz w:val="18"/>
      <w:szCs w:val="18"/>
    </w:rPr>
  </w:style>
  <w:style w:type="paragraph" w:customStyle="1" w:styleId="31">
    <w:name w:val="正文文本1"/>
    <w:basedOn w:val="27"/>
    <w:next w:val="32"/>
    <w:qFormat/>
    <w:uiPriority w:val="0"/>
    <w:pPr>
      <w:spacing w:after="120"/>
    </w:pPr>
    <w:rPr>
      <w:lang w:eastAsia="en-US"/>
    </w:rPr>
  </w:style>
  <w:style w:type="paragraph" w:customStyle="1" w:styleId="32">
    <w:name w:val="一级条标题"/>
    <w:basedOn w:val="33"/>
    <w:next w:val="34"/>
    <w:qFormat/>
    <w:uiPriority w:val="0"/>
    <w:pPr>
      <w:tabs>
        <w:tab w:val="left" w:pos="810"/>
        <w:tab w:val="left" w:pos="907"/>
        <w:tab w:val="left" w:pos="1265"/>
      </w:tabs>
      <w:spacing w:before="0" w:after="0"/>
      <w:ind w:left="907" w:hanging="907"/>
      <w:outlineLvl w:val="2"/>
    </w:pPr>
    <w:rPr>
      <w:rFonts w:hAnsi="宋体"/>
      <w:sz w:val="20"/>
      <w:szCs w:val="20"/>
    </w:rPr>
  </w:style>
  <w:style w:type="paragraph" w:customStyle="1" w:styleId="33">
    <w:name w:val="章标题"/>
    <w:next w:val="1"/>
    <w:qFormat/>
    <w:uiPriority w:val="0"/>
    <w:pPr>
      <w:tabs>
        <w:tab w:val="left" w:pos="810"/>
        <w:tab w:val="left" w:pos="1265"/>
      </w:tabs>
      <w:spacing w:before="50" w:after="50"/>
      <w:ind w:left="810" w:hanging="810"/>
      <w:jc w:val="both"/>
      <w:outlineLvl w:val="1"/>
    </w:pPr>
    <w:rPr>
      <w:rFonts w:ascii="黑体" w:hAnsi="Calibri" w:eastAsia="黑体" w:cs="Times New Roman"/>
      <w:sz w:val="21"/>
      <w:szCs w:val="22"/>
      <w:lang w:val="en-US" w:eastAsia="zh-CN" w:bidi="ar-SA"/>
    </w:rPr>
  </w:style>
  <w:style w:type="paragraph" w:customStyle="1" w:styleId="34">
    <w:name w:val="段"/>
    <w:basedOn w:val="27"/>
    <w:next w:val="1"/>
    <w:qFormat/>
    <w:uiPriority w:val="0"/>
    <w:pPr>
      <w:widowControl/>
      <w:ind w:firstLine="200"/>
    </w:pPr>
    <w:rPr>
      <w:sz w:val="20"/>
    </w:rPr>
  </w:style>
  <w:style w:type="character" w:customStyle="1" w:styleId="35">
    <w:name w:val="NormalCharacter"/>
    <w:qFormat/>
    <w:uiPriority w:val="99"/>
    <w:rPr>
      <w:rFonts w:ascii="Calibri" w:hAnsi="Calibri" w:eastAsia="宋体" w:cs="Times New Roman"/>
      <w:kern w:val="2"/>
      <w:sz w:val="21"/>
      <w:szCs w:val="22"/>
      <w:lang w:val="en-US" w:eastAsia="zh-CN" w:bidi="ar-SA"/>
    </w:rPr>
  </w:style>
  <w:style w:type="paragraph" w:customStyle="1" w:styleId="36">
    <w:name w:val="p0"/>
    <w:basedOn w:val="1"/>
    <w:qFormat/>
    <w:uiPriority w:val="0"/>
    <w:pPr>
      <w:widowControl/>
    </w:pPr>
    <w:rPr>
      <w:rFonts w:ascii="Times New Roman" w:hAnsi="Times New Roman"/>
      <w:kern w:val="0"/>
      <w:szCs w:val="21"/>
    </w:rPr>
  </w:style>
  <w:style w:type="paragraph" w:styleId="37">
    <w:name w:val="List Paragraph"/>
    <w:basedOn w:val="1"/>
    <w:qFormat/>
    <w:uiPriority w:val="34"/>
    <w:pPr>
      <w:ind w:firstLine="420" w:firstLineChars="200"/>
    </w:pPr>
  </w:style>
  <w:style w:type="paragraph" w:customStyle="1" w:styleId="38">
    <w:name w:val="Table Paragraph"/>
    <w:basedOn w:val="1"/>
    <w:qFormat/>
    <w:uiPriority w:val="1"/>
    <w:pPr>
      <w:autoSpaceDE w:val="0"/>
      <w:autoSpaceDN w:val="0"/>
    </w:pPr>
    <w:rPr>
      <w:rFonts w:ascii="Noto Sans CJK JP Regular" w:hAnsi="Noto Sans CJK JP Regular" w:eastAsia="Noto Sans CJK JP Regular" w:cs="Noto Sans CJK JP Regular"/>
      <w:kern w:val="0"/>
      <w:lang w:eastAsia="en-US"/>
    </w:rPr>
  </w:style>
  <w:style w:type="paragraph" w:customStyle="1" w:styleId="39">
    <w:name w:val="纯文本1"/>
    <w:basedOn w:val="1"/>
    <w:qFormat/>
    <w:uiPriority w:val="0"/>
    <w:pPr>
      <w:adjustRightInd w:val="0"/>
      <w:textAlignment w:val="baseline"/>
    </w:pPr>
    <w:rPr>
      <w:rFonts w:ascii="宋体" w:hAnsi="Courier New" w:eastAsia="楷体_GB2312"/>
      <w:sz w:val="28"/>
      <w:szCs w:val="20"/>
    </w:rPr>
  </w:style>
  <w:style w:type="paragraph" w:customStyle="1" w:styleId="40">
    <w:name w:val="正文（缩进）"/>
    <w:basedOn w:val="1"/>
    <w:next w:val="41"/>
    <w:qFormat/>
    <w:uiPriority w:val="0"/>
    <w:pPr>
      <w:spacing w:before="156" w:after="156"/>
      <w:ind w:firstLine="480" w:firstLineChars="200"/>
    </w:pPr>
  </w:style>
  <w:style w:type="paragraph" w:customStyle="1" w:styleId="41">
    <w:name w:val="Char Char Char Char Char Char Char Char Char"/>
    <w:basedOn w:val="1"/>
    <w:next w:val="42"/>
    <w:qFormat/>
    <w:uiPriority w:val="0"/>
    <w:pPr>
      <w:tabs>
        <w:tab w:val="left" w:pos="360"/>
      </w:tabs>
      <w:ind w:left="360" w:hanging="360" w:hangingChars="200"/>
    </w:pPr>
    <w:rPr>
      <w:rFonts w:eastAsia="Calibri" w:cs="宋体"/>
      <w:sz w:val="24"/>
      <w:szCs w:val="24"/>
      <w:lang w:val="zh-CN"/>
    </w:rPr>
  </w:style>
  <w:style w:type="paragraph" w:customStyle="1" w:styleId="42">
    <w:name w:val="正文文本 21"/>
    <w:basedOn w:val="1"/>
    <w:next w:val="43"/>
    <w:qFormat/>
    <w:uiPriority w:val="0"/>
    <w:pPr>
      <w:widowControl/>
      <w:overflowPunct w:val="0"/>
      <w:ind w:left="720" w:hanging="720"/>
      <w:textAlignment w:val="baseline"/>
    </w:pPr>
    <w:rPr>
      <w:rFonts w:eastAsia="Calibri" w:cs="宋体"/>
      <w:sz w:val="24"/>
      <w:szCs w:val="20"/>
      <w:lang w:val="en-GB"/>
    </w:rPr>
  </w:style>
  <w:style w:type="paragraph" w:customStyle="1" w:styleId="43">
    <w:name w:val="默认段落字体 Para Char Char Char Char Char Char Char"/>
    <w:basedOn w:val="1"/>
    <w:next w:val="44"/>
    <w:qFormat/>
    <w:uiPriority w:val="0"/>
    <w:pPr>
      <w:ind w:firstLine="200" w:firstLineChars="200"/>
    </w:pPr>
    <w:rPr>
      <w:rFonts w:cs="Arial"/>
    </w:rPr>
  </w:style>
  <w:style w:type="paragraph" w:customStyle="1" w:styleId="44">
    <w:name w:val="样式 首行缩进:  2 字符"/>
    <w:basedOn w:val="1"/>
    <w:next w:val="45"/>
    <w:qFormat/>
    <w:uiPriority w:val="0"/>
    <w:pPr>
      <w:spacing w:line="360" w:lineRule="auto"/>
      <w:ind w:firstLine="480" w:firstLineChars="200"/>
    </w:pPr>
    <w:rPr>
      <w:sz w:val="24"/>
      <w:szCs w:val="20"/>
      <w:lang w:val="zh-CN"/>
    </w:rPr>
  </w:style>
  <w:style w:type="paragraph" w:customStyle="1" w:styleId="45">
    <w:name w:val="样式 段后: 0.25 行"/>
    <w:basedOn w:val="1"/>
    <w:next w:val="46"/>
    <w:qFormat/>
    <w:uiPriority w:val="0"/>
    <w:pPr>
      <w:widowControl/>
      <w:spacing w:afterLines="25" w:line="300" w:lineRule="auto"/>
      <w:ind w:firstLine="420" w:firstLineChars="200"/>
    </w:pPr>
    <w:rPr>
      <w:rFonts w:ascii="Arial" w:hAnsi="Arial" w:eastAsia="Calibri" w:cs="宋体"/>
      <w:sz w:val="22"/>
      <w:szCs w:val="20"/>
      <w:lang w:val="zh-CN" w:eastAsia="en-US" w:bidi="en-US"/>
    </w:rPr>
  </w:style>
  <w:style w:type="paragraph" w:customStyle="1" w:styleId="46">
    <w:name w:val="正文 New New New New New New New New New New New New New New"/>
    <w:next w:val="17"/>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47">
    <w:name w:val="正文空2格  1."/>
    <w:basedOn w:val="1"/>
    <w:qFormat/>
    <w:uiPriority w:val="0"/>
    <w:pPr>
      <w:ind w:firstLine="480"/>
    </w:pPr>
    <w:rPr>
      <w:rFonts w:cs="宋体"/>
      <w:sz w:val="28"/>
      <w:szCs w:val="20"/>
    </w:rPr>
  </w:style>
  <w:style w:type="character" w:customStyle="1" w:styleId="48">
    <w:name w:val="font11"/>
    <w:basedOn w:val="23"/>
    <w:qFormat/>
    <w:uiPriority w:val="0"/>
    <w:rPr>
      <w:rFonts w:hint="eastAsia" w:ascii="宋体" w:hAnsi="宋体" w:eastAsia="宋体" w:cs="宋体"/>
      <w:color w:val="000000"/>
      <w:sz w:val="21"/>
      <w:szCs w:val="21"/>
      <w:u w:val="none"/>
    </w:rPr>
  </w:style>
  <w:style w:type="paragraph" w:customStyle="1" w:styleId="49">
    <w:name w:val="正文文本12"/>
    <w:semiHidden/>
    <w:qFormat/>
    <w:uiPriority w:val="0"/>
    <w:rPr>
      <w:rFonts w:ascii="宋体" w:hAnsi="宋体" w:eastAsia="宋体" w:cs="宋体"/>
      <w:color w:val="000000"/>
      <w:sz w:val="31"/>
      <w:szCs w:val="31"/>
      <w:lang w:val="en-US" w:eastAsia="en-US" w:bidi="ar-SA"/>
    </w:rPr>
  </w:style>
  <w:style w:type="character" w:customStyle="1" w:styleId="50">
    <w:name w:val="批注文字 Char"/>
    <w:basedOn w:val="23"/>
    <w:link w:val="7"/>
    <w:qFormat/>
    <w:uiPriority w:val="0"/>
    <w:rPr>
      <w:rFonts w:ascii="Calibri" w:hAnsi="Calibri" w:eastAsia="宋体" w:cs="Times New Roman"/>
      <w:kern w:val="2"/>
      <w:sz w:val="21"/>
      <w:szCs w:val="22"/>
    </w:rPr>
  </w:style>
  <w:style w:type="character" w:customStyle="1" w:styleId="51">
    <w:name w:val="批注主题 Char"/>
    <w:basedOn w:val="50"/>
    <w:link w:val="20"/>
    <w:qFormat/>
    <w:uiPriority w:val="0"/>
    <w:rPr>
      <w:rFonts w:ascii="Calibri" w:hAnsi="Calibri" w:eastAsia="宋体" w:cs="Times New Roman"/>
      <w:b/>
      <w:bCs/>
      <w:kern w:val="2"/>
      <w:sz w:val="21"/>
      <w:szCs w:val="22"/>
    </w:rPr>
  </w:style>
  <w:style w:type="character" w:customStyle="1" w:styleId="52">
    <w:name w:val="正文文本缩进 2 Char"/>
    <w:basedOn w:val="23"/>
    <w:link w:val="12"/>
    <w:qFormat/>
    <w:uiPriority w:val="99"/>
    <w:rPr>
      <w:rFonts w:ascii="楷体_GB2312" w:hAnsi="Calibri" w:eastAsia="楷体_GB2312" w:cs="Times New Roman"/>
      <w:b/>
      <w:bCs/>
      <w:sz w:val="28"/>
      <w:szCs w:val="24"/>
    </w:rPr>
  </w:style>
  <w:style w:type="paragraph" w:customStyle="1" w:styleId="53">
    <w:name w:val="正文11"/>
    <w:next w:val="27"/>
    <w:qFormat/>
    <w:uiPriority w:val="0"/>
    <w:pPr>
      <w:widowControl w:val="0"/>
      <w:jc w:val="both"/>
    </w:pPr>
    <w:rPr>
      <w:rFonts w:ascii="Times New Roman" w:hAnsi="Times New Roman" w:eastAsia="宋体" w:cs="Times New Roman"/>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numbering" Target="numbering.xml"/><Relationship Id="rId7" Type="http://schemas.openxmlformats.org/officeDocument/2006/relationships/image" Target="media/image1.jpeg"/><Relationship Id="rId6" Type="http://schemas.openxmlformats.org/officeDocument/2006/relationships/theme" Target="theme/theme1.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781EA17C-977C-4AF5-9E64-8ED921AC3600}">
  <ds:schemaRefs/>
</ds:datastoreItem>
</file>

<file path=docProps/app.xml><?xml version="1.0" encoding="utf-8"?>
<Properties xmlns="http://schemas.openxmlformats.org/officeDocument/2006/extended-properties" xmlns:vt="http://schemas.openxmlformats.org/officeDocument/2006/docPropsVTypes">
  <Template>Normal</Template>
  <Company>HP</Company>
  <Pages>56</Pages>
  <Words>27969</Words>
  <Characters>30688</Characters>
  <Lines>237</Lines>
  <Paragraphs>66</Paragraphs>
  <TotalTime>68</TotalTime>
  <ScaleCrop>false</ScaleCrop>
  <LinksUpToDate>false</LinksUpToDate>
  <CharactersWithSpaces>31497</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2024-02-29T07:16:00Z</dcterms:created>
  <dc:creator>19905</dc:creator>
  <cp:lastModifiedBy>唐磊</cp:lastModifiedBy>
  <cp:lastPrinted>2024-09-06T14:26:00Z</cp:lastPrinted>
  <dcterms:modified xsi:type="dcterms:W3CDTF">2024-10-08T03:01:11Z</dcterms:modified>
  <cp:revision>139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B3487DCAA46C48F883AF0F34C3343C76_13</vt:lpwstr>
  </property>
</Properties>
</file>